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47B6" w14:textId="77777777" w:rsidR="00C372E4" w:rsidRPr="00C372E4" w:rsidRDefault="00C372E4" w:rsidP="00C372E4">
      <w:pPr>
        <w:rPr>
          <w:rFonts w:ascii="Arial" w:hAnsi="Arial" w:cs="Arial"/>
          <w:b/>
          <w:bCs/>
          <w:sz w:val="32"/>
          <w:szCs w:val="32"/>
          <w:lang w:val="en-GB"/>
        </w:rPr>
      </w:pPr>
      <w:bookmarkStart w:id="0" w:name="_Hlk121948004"/>
      <w:r w:rsidRPr="00C372E4">
        <w:rPr>
          <w:rFonts w:ascii="Arial" w:hAnsi="Arial" w:cs="Arial"/>
          <w:b/>
          <w:bCs/>
          <w:sz w:val="32"/>
          <w:szCs w:val="32"/>
          <w:lang w:val="en-GB"/>
        </w:rPr>
        <w:t xml:space="preserve">Structural properties of </w:t>
      </w:r>
      <w:bookmarkStart w:id="1" w:name="_Hlk121941653"/>
      <w:r w:rsidRPr="00C372E4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Bletilla striata</w:t>
      </w:r>
      <w:bookmarkEnd w:id="1"/>
      <w:r w:rsidRPr="00C372E4">
        <w:rPr>
          <w:rFonts w:ascii="Arial" w:hAnsi="Arial" w:cs="Arial"/>
          <w:b/>
          <w:bCs/>
          <w:sz w:val="32"/>
          <w:szCs w:val="32"/>
          <w:lang w:val="en-GB"/>
        </w:rPr>
        <w:t xml:space="preserve"> polysaccharide and the synergistic gelation of polysaccharide and xanthan gum</w:t>
      </w:r>
    </w:p>
    <w:bookmarkEnd w:id="0"/>
    <w:p w14:paraId="5ACC6EFD" w14:textId="77777777" w:rsidR="00C372E4" w:rsidRDefault="00C372E4" w:rsidP="00C372E4">
      <w:pP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14:paraId="32E3E4BD" w14:textId="6FCAC12A" w:rsidR="00C372E4" w:rsidRDefault="00C372E4" w:rsidP="00C372E4">
      <w:pP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 w:rsidRPr="00C372E4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Yanjie Hou, Jiaying Zhao, Junyi Yin, </w:t>
      </w:r>
      <w:proofErr w:type="spellStart"/>
      <w:r w:rsidRPr="00C372E4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Shaoping</w:t>
      </w:r>
      <w:proofErr w:type="spellEnd"/>
      <w:r w:rsidRPr="00C372E4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Nie*</w:t>
      </w:r>
    </w:p>
    <w:p w14:paraId="50615F9E" w14:textId="77777777" w:rsidR="00C372E4" w:rsidRPr="00C372E4" w:rsidRDefault="00C372E4" w:rsidP="00C372E4">
      <w:pP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14:paraId="6BCAF568" w14:textId="77777777" w:rsidR="00C372E4" w:rsidRPr="00C372E4" w:rsidRDefault="00C372E4" w:rsidP="00C372E4">
      <w:pPr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</w:pPr>
      <w:r w:rsidRPr="00C372E4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State Key Laboratory of Food Science and Technology, China-Canada Joint Lab of Food Science and Technology (Nanchang), Key Laboratory of Bioactive Polysaccharides of Jiangxi Province, Nanchang University, 235 Nanjing East Road, Nanchang 330047, PR China</w:t>
      </w:r>
    </w:p>
    <w:p w14:paraId="4606C04B" w14:textId="77777777" w:rsidR="00C372E4" w:rsidRDefault="00C372E4" w:rsidP="00C372E4">
      <w:pPr>
        <w:jc w:val="center"/>
        <w:rPr>
          <w:rFonts w:ascii="Arial" w:eastAsia="宋体" w:hAnsi="Arial" w:cs="Arial"/>
          <w:kern w:val="0"/>
          <w:sz w:val="22"/>
          <w:lang w:val="en-GB"/>
        </w:rPr>
      </w:pPr>
    </w:p>
    <w:p w14:paraId="3FCB1BB2" w14:textId="77777777" w:rsidR="00C372E4" w:rsidRDefault="00C372E4" w:rsidP="00C372E4">
      <w:pPr>
        <w:jc w:val="center"/>
        <w:rPr>
          <w:rFonts w:ascii="Arial" w:eastAsia="宋体" w:hAnsi="Arial" w:cs="Arial"/>
          <w:kern w:val="0"/>
          <w:sz w:val="22"/>
          <w:lang w:val="en-GB"/>
        </w:rPr>
      </w:pPr>
    </w:p>
    <w:p w14:paraId="215FFBBC" w14:textId="77777777" w:rsidR="002151BE" w:rsidRPr="002151BE" w:rsidRDefault="002151BE" w:rsidP="002151BE">
      <w:pPr>
        <w:rPr>
          <w:rFonts w:ascii="Arial" w:eastAsia="宋体" w:hAnsi="Arial" w:cs="Arial"/>
          <w:kern w:val="0"/>
          <w:sz w:val="22"/>
        </w:rPr>
      </w:pPr>
      <w:r w:rsidRPr="002151BE">
        <w:rPr>
          <w:rFonts w:ascii="Arial" w:eastAsia="宋体" w:hAnsi="Arial" w:cs="Arial"/>
          <w:i/>
          <w:iCs/>
          <w:kern w:val="0"/>
          <w:sz w:val="22"/>
        </w:rPr>
        <w:t xml:space="preserve">Bletilla strata </w:t>
      </w:r>
      <w:r w:rsidRPr="002151BE">
        <w:rPr>
          <w:rFonts w:ascii="Arial" w:eastAsia="宋体" w:hAnsi="Arial" w:cs="Arial"/>
          <w:kern w:val="0"/>
          <w:sz w:val="22"/>
        </w:rPr>
        <w:t xml:space="preserve">polysaccharide (BSP) has been attracting increasing attention because of its </w:t>
      </w:r>
      <w:r w:rsidRPr="002151BE">
        <w:rPr>
          <w:rFonts w:ascii="Arial" w:eastAsia="宋体" w:hAnsi="Arial" w:cs="Arial" w:hint="eastAsia"/>
          <w:kern w:val="0"/>
          <w:sz w:val="22"/>
        </w:rPr>
        <w:t>nu</w:t>
      </w:r>
      <w:r w:rsidRPr="002151BE">
        <w:rPr>
          <w:rFonts w:ascii="Arial" w:eastAsia="宋体" w:hAnsi="Arial" w:cs="Arial"/>
          <w:kern w:val="0"/>
          <w:sz w:val="22"/>
        </w:rPr>
        <w:t>merous bioactive. In this study, BSP was obtained by water-extraction and ethanol-precipitation, and its structure and synergistic interaction with xanthan gum (XG) were then investigated. BSP was identified as a highly linear polymer with a weight average molecular weight (</w:t>
      </w:r>
      <w:r w:rsidRPr="002151BE">
        <w:rPr>
          <w:rFonts w:ascii="Arial" w:eastAsia="宋体" w:hAnsi="Arial" w:cs="Arial"/>
          <w:i/>
          <w:iCs/>
          <w:kern w:val="0"/>
          <w:sz w:val="22"/>
        </w:rPr>
        <w:t>M</w:t>
      </w:r>
      <w:r w:rsidRPr="002151BE">
        <w:rPr>
          <w:rFonts w:ascii="Arial" w:eastAsia="宋体" w:hAnsi="Arial" w:cs="Arial"/>
          <w:kern w:val="0"/>
          <w:sz w:val="22"/>
          <w:vertAlign w:val="subscript"/>
        </w:rPr>
        <w:t>w</w:t>
      </w:r>
      <w:r w:rsidRPr="002151BE">
        <w:rPr>
          <w:rFonts w:ascii="Arial" w:eastAsia="宋体" w:hAnsi="Arial" w:cs="Arial"/>
          <w:kern w:val="0"/>
          <w:sz w:val="22"/>
        </w:rPr>
        <w:t>) of 323.7 kDa, whose ratio of mannose to glucose was 2.4:1.0. It consisted of β-(1 → 4)-Man</w:t>
      </w:r>
      <w:r w:rsidRPr="002151BE">
        <w:rPr>
          <w:rFonts w:ascii="Arial" w:eastAsia="宋体" w:hAnsi="Arial" w:cs="Arial"/>
          <w:i/>
          <w:iCs/>
          <w:kern w:val="0"/>
          <w:sz w:val="22"/>
        </w:rPr>
        <w:t>p</w:t>
      </w:r>
      <w:r w:rsidRPr="002151BE">
        <w:rPr>
          <w:rFonts w:ascii="Arial" w:eastAsia="宋体" w:hAnsi="Arial" w:cs="Arial"/>
          <w:kern w:val="0"/>
          <w:sz w:val="22"/>
        </w:rPr>
        <w:t xml:space="preserve"> and β-(1 → 4)-Glc</w:t>
      </w:r>
      <w:r w:rsidRPr="002151BE">
        <w:rPr>
          <w:rFonts w:ascii="Arial" w:eastAsia="宋体" w:hAnsi="Arial" w:cs="Arial"/>
          <w:i/>
          <w:iCs/>
          <w:kern w:val="0"/>
          <w:sz w:val="22"/>
        </w:rPr>
        <w:t>p</w:t>
      </w:r>
      <w:r w:rsidRPr="002151BE">
        <w:rPr>
          <w:rFonts w:ascii="Arial" w:eastAsia="宋体" w:hAnsi="Arial" w:cs="Arial"/>
          <w:kern w:val="0"/>
          <w:sz w:val="22"/>
        </w:rPr>
        <w:t>, as well as a small amount of β-(1 → 3)-Man</w:t>
      </w:r>
      <w:r w:rsidRPr="002151BE">
        <w:rPr>
          <w:rFonts w:ascii="Arial" w:eastAsia="宋体" w:hAnsi="Arial" w:cs="Arial"/>
          <w:i/>
          <w:iCs/>
          <w:kern w:val="0"/>
          <w:sz w:val="22"/>
        </w:rPr>
        <w:t>p</w:t>
      </w:r>
      <w:r w:rsidRPr="002151BE">
        <w:rPr>
          <w:rFonts w:ascii="Arial" w:eastAsia="宋体" w:hAnsi="Arial" w:cs="Arial"/>
          <w:kern w:val="0"/>
          <w:sz w:val="22"/>
        </w:rPr>
        <w:t xml:space="preserve"> as the backbone, terminated by T-Man</w:t>
      </w:r>
      <w:r w:rsidRPr="002151BE">
        <w:rPr>
          <w:rFonts w:ascii="Arial" w:eastAsia="宋体" w:hAnsi="Arial" w:cs="Arial"/>
          <w:i/>
          <w:iCs/>
          <w:kern w:val="0"/>
          <w:sz w:val="22"/>
        </w:rPr>
        <w:t xml:space="preserve">p </w:t>
      </w:r>
      <w:r w:rsidRPr="002151BE">
        <w:rPr>
          <w:rFonts w:ascii="Arial" w:eastAsia="宋体" w:hAnsi="Arial" w:cs="Arial"/>
          <w:kern w:val="0"/>
          <w:sz w:val="22"/>
        </w:rPr>
        <w:t xml:space="preserve">residues. Moreover, it was also substituted by a small number of </w:t>
      </w:r>
      <w:r w:rsidRPr="002151BE">
        <w:rPr>
          <w:rFonts w:ascii="Arial" w:eastAsia="宋体" w:hAnsi="Arial" w:cs="Arial"/>
          <w:i/>
          <w:iCs/>
          <w:kern w:val="0"/>
          <w:sz w:val="22"/>
        </w:rPr>
        <w:t>O</w:t>
      </w:r>
      <w:r w:rsidRPr="002151BE">
        <w:rPr>
          <w:rFonts w:ascii="Arial" w:eastAsia="宋体" w:hAnsi="Arial" w:cs="Arial"/>
          <w:kern w:val="0"/>
          <w:sz w:val="22"/>
        </w:rPr>
        <w:t>-acetyl groups at C-3 position of →4)-Man</w:t>
      </w:r>
      <w:r w:rsidRPr="002151BE">
        <w:rPr>
          <w:rFonts w:ascii="Arial" w:eastAsia="宋体" w:hAnsi="Arial" w:cs="Arial"/>
          <w:i/>
          <w:iCs/>
          <w:kern w:val="0"/>
          <w:sz w:val="22"/>
        </w:rPr>
        <w:t>p</w:t>
      </w:r>
      <w:r w:rsidRPr="002151BE">
        <w:rPr>
          <w:rFonts w:ascii="Arial" w:eastAsia="宋体" w:hAnsi="Arial" w:cs="Arial"/>
          <w:kern w:val="0"/>
          <w:sz w:val="22"/>
        </w:rPr>
        <w:t xml:space="preserve">-(1→ residue. Despite the poor gelling ability of BSP itself, </w:t>
      </w:r>
      <w:r w:rsidRPr="002151BE">
        <w:rPr>
          <w:rFonts w:ascii="Arial" w:eastAsia="宋体" w:hAnsi="Arial" w:cs="Arial" w:hint="eastAsia"/>
          <w:kern w:val="0"/>
          <w:sz w:val="22"/>
        </w:rPr>
        <w:t>it</w:t>
      </w:r>
      <w:r w:rsidRPr="002151BE">
        <w:rPr>
          <w:rFonts w:ascii="Arial" w:eastAsia="宋体" w:hAnsi="Arial" w:cs="Arial"/>
          <w:kern w:val="0"/>
          <w:sz w:val="22"/>
        </w:rPr>
        <w:t xml:space="preserve"> could form a firm and thixotropic gel when mixing with xanthan gum (XG). Upon cooling, irrespective of the mixing ratio, all BSP/XG mixtures exhibited a steep increase in G′ at ~63</w:t>
      </w:r>
      <w:bookmarkStart w:id="2" w:name="_Hlk120862462"/>
      <w:r w:rsidRPr="002151BE">
        <w:rPr>
          <w:rFonts w:ascii="宋体" w:eastAsia="宋体" w:hAnsi="宋体" w:cs="宋体" w:hint="eastAsia"/>
          <w:kern w:val="0"/>
          <w:sz w:val="22"/>
        </w:rPr>
        <w:t>℃</w:t>
      </w:r>
      <w:bookmarkEnd w:id="2"/>
      <w:r w:rsidRPr="002151BE">
        <w:rPr>
          <w:rFonts w:ascii="Arial" w:eastAsia="宋体" w:hAnsi="Arial" w:cs="Arial"/>
          <w:kern w:val="0"/>
          <w:sz w:val="22"/>
        </w:rPr>
        <w:t>, which was defined as the onset temperature of the synergistic gelation. On heating, all gels melted at 63</w:t>
      </w:r>
      <w:r w:rsidRPr="002151BE">
        <w:rPr>
          <w:rFonts w:ascii="宋体" w:eastAsia="宋体" w:hAnsi="宋体" w:cs="宋体" w:hint="eastAsia"/>
          <w:kern w:val="0"/>
          <w:sz w:val="22"/>
        </w:rPr>
        <w:t>℃</w:t>
      </w:r>
      <w:r w:rsidRPr="002151BE">
        <w:rPr>
          <w:rFonts w:ascii="Arial" w:eastAsia="宋体" w:hAnsi="Arial" w:cs="Arial"/>
          <w:kern w:val="0"/>
          <w:sz w:val="22"/>
        </w:rPr>
        <w:t xml:space="preserve">, without detectable thermal hysteresis. The most pronounced synergistic interaction occurred at BSP/XG ratio = </w:t>
      </w:r>
      <w:r w:rsidRPr="002151BE">
        <w:rPr>
          <w:rFonts w:ascii="Arial" w:eastAsia="宋体" w:hAnsi="Arial" w:cs="Arial" w:hint="eastAsia"/>
          <w:kern w:val="0"/>
          <w:sz w:val="22"/>
        </w:rPr>
        <w:t>5:</w:t>
      </w:r>
      <w:r w:rsidRPr="002151BE">
        <w:rPr>
          <w:rFonts w:ascii="Arial" w:eastAsia="宋体" w:hAnsi="Arial" w:cs="Arial"/>
          <w:kern w:val="0"/>
          <w:sz w:val="22"/>
        </w:rPr>
        <w:t>5. Overall, this study provides new knowledge about the structure of BSP and its synergistic interaction with XG. Especially, the thixotropy of the mixed gels may find usefulness in formulating easy-to-swallowing food products.</w:t>
      </w:r>
    </w:p>
    <w:p w14:paraId="766139B4" w14:textId="4779A948" w:rsidR="00C372E4" w:rsidRPr="002151BE" w:rsidRDefault="00C372E4" w:rsidP="002151BE">
      <w:pPr>
        <w:rPr>
          <w:rFonts w:ascii="Times New Roman" w:hAnsi="Times New Roman" w:cs="Times New Roman"/>
          <w:sz w:val="24"/>
          <w:szCs w:val="24"/>
        </w:rPr>
      </w:pPr>
    </w:p>
    <w:sectPr w:rsidR="00C372E4" w:rsidRPr="0021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8A5D" w14:textId="77777777" w:rsidR="002D594C" w:rsidRDefault="002D594C" w:rsidP="002151BE">
      <w:r>
        <w:separator/>
      </w:r>
    </w:p>
  </w:endnote>
  <w:endnote w:type="continuationSeparator" w:id="0">
    <w:p w14:paraId="20B7AA48" w14:textId="77777777" w:rsidR="002D594C" w:rsidRDefault="002D594C" w:rsidP="0021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7C6A" w14:textId="77777777" w:rsidR="002D594C" w:rsidRDefault="002D594C" w:rsidP="002151BE">
      <w:r>
        <w:separator/>
      </w:r>
    </w:p>
  </w:footnote>
  <w:footnote w:type="continuationSeparator" w:id="0">
    <w:p w14:paraId="31C55B0E" w14:textId="77777777" w:rsidR="002D594C" w:rsidRDefault="002D594C" w:rsidP="0021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33AF"/>
    <w:rsid w:val="001F33AF"/>
    <w:rsid w:val="00213182"/>
    <w:rsid w:val="002151BE"/>
    <w:rsid w:val="002D594C"/>
    <w:rsid w:val="00637016"/>
    <w:rsid w:val="00C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72397"/>
  <w15:chartTrackingRefBased/>
  <w15:docId w15:val="{0CB3C606-2987-4C95-93DE-CCB86D0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2E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72E4"/>
    <w:pPr>
      <w:widowControl/>
      <w:autoSpaceDE w:val="0"/>
      <w:autoSpaceDN w:val="0"/>
      <w:jc w:val="left"/>
    </w:pPr>
    <w:rPr>
      <w:rFonts w:ascii="Arial" w:eastAsia="宋体" w:hAnsi="Arial" w:cs="Arial"/>
      <w:kern w:val="0"/>
      <w:sz w:val="24"/>
      <w:szCs w:val="24"/>
      <w:lang w:val="nb-NO"/>
    </w:rPr>
  </w:style>
  <w:style w:type="character" w:customStyle="1" w:styleId="a4">
    <w:name w:val="正文文本 字符"/>
    <w:basedOn w:val="a0"/>
    <w:link w:val="a3"/>
    <w:semiHidden/>
    <w:rsid w:val="00C372E4"/>
    <w:rPr>
      <w:rFonts w:ascii="Arial" w:eastAsia="宋体" w:hAnsi="Arial" w:cs="Arial"/>
      <w:kern w:val="0"/>
      <w:sz w:val="24"/>
      <w:szCs w:val="24"/>
      <w:lang w:val="nb-NO"/>
    </w:rPr>
  </w:style>
  <w:style w:type="paragraph" w:styleId="a5">
    <w:name w:val="header"/>
    <w:basedOn w:val="a"/>
    <w:link w:val="a6"/>
    <w:uiPriority w:val="99"/>
    <w:unhideWhenUsed/>
    <w:rsid w:val="0021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51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51B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51B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151B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1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燕杰</dc:creator>
  <cp:keywords/>
  <dc:description/>
  <cp:lastModifiedBy>侯 燕杰</cp:lastModifiedBy>
  <cp:revision>3</cp:revision>
  <dcterms:created xsi:type="dcterms:W3CDTF">2022-12-15T02:58:00Z</dcterms:created>
  <dcterms:modified xsi:type="dcterms:W3CDTF">2022-12-24T08:04:00Z</dcterms:modified>
</cp:coreProperties>
</file>