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A293D" w14:textId="32FCE34C" w:rsidR="00181149" w:rsidRDefault="00181149" w:rsidP="00181149">
      <w:pPr>
        <w:rPr>
          <w:rFonts w:ascii="Arial" w:hAnsi="Arial" w:cs="Arial"/>
          <w:b/>
          <w:bCs/>
          <w:sz w:val="32"/>
          <w:szCs w:val="32"/>
          <w:lang w:val="en-GB"/>
        </w:rPr>
      </w:pPr>
      <w:r>
        <w:rPr>
          <w:rFonts w:ascii="Arial" w:hAnsi="Arial" w:cs="Arial"/>
          <w:b/>
          <w:bCs/>
          <w:sz w:val="32"/>
          <w:szCs w:val="32"/>
          <w:lang w:val="en-GB"/>
        </w:rPr>
        <w:t>I</w:t>
      </w:r>
      <w:r w:rsidRPr="00181149">
        <w:rPr>
          <w:rFonts w:ascii="Arial" w:hAnsi="Arial" w:cs="Arial" w:hint="eastAsia"/>
          <w:b/>
          <w:bCs/>
          <w:sz w:val="32"/>
          <w:szCs w:val="32"/>
          <w:lang w:val="en-GB"/>
        </w:rPr>
        <w:t>mprov</w:t>
      </w:r>
      <w:r>
        <w:rPr>
          <w:rFonts w:ascii="Arial" w:hAnsi="Arial" w:cs="Arial" w:hint="eastAsia"/>
          <w:b/>
          <w:bCs/>
          <w:sz w:val="32"/>
          <w:szCs w:val="32"/>
          <w:lang w:val="en-GB"/>
        </w:rPr>
        <w:t>ing</w:t>
      </w:r>
      <w:r w:rsidRPr="00181149">
        <w:rPr>
          <w:rFonts w:ascii="Arial" w:hAnsi="Arial" w:cs="Arial"/>
          <w:b/>
          <w:bCs/>
          <w:sz w:val="32"/>
          <w:szCs w:val="32"/>
          <w:lang w:val="en-GB"/>
        </w:rPr>
        <w:t xml:space="preserve"> the survival of probiotics</w:t>
      </w:r>
      <w:r w:rsidR="00130F94">
        <w:rPr>
          <w:rFonts w:ascii="Arial" w:hAnsi="Arial" w:cs="Arial"/>
          <w:b/>
          <w:bCs/>
          <w:sz w:val="32"/>
          <w:szCs w:val="32"/>
          <w:lang w:val="en-GB"/>
        </w:rPr>
        <w:t xml:space="preserve"> via </w:t>
      </w:r>
      <w:r w:rsidRPr="00181149">
        <w:rPr>
          <w:rFonts w:ascii="Arial" w:hAnsi="Arial" w:cs="Arial"/>
          <w:b/>
          <w:bCs/>
          <w:sz w:val="32"/>
          <w:szCs w:val="32"/>
          <w:lang w:val="en-GB"/>
        </w:rPr>
        <w:t>in situ re-culture</w:t>
      </w:r>
      <w:r>
        <w:rPr>
          <w:rFonts w:ascii="Arial" w:hAnsi="Arial" w:cs="Arial"/>
          <w:b/>
          <w:bCs/>
          <w:sz w:val="32"/>
          <w:szCs w:val="32"/>
          <w:lang w:val="en-GB"/>
        </w:rPr>
        <w:t xml:space="preserve"> </w:t>
      </w:r>
      <w:r w:rsidR="00130F94">
        <w:rPr>
          <w:rFonts w:ascii="Arial" w:hAnsi="Arial" w:cs="Arial"/>
          <w:b/>
          <w:bCs/>
          <w:sz w:val="32"/>
          <w:szCs w:val="32"/>
          <w:lang w:val="en-GB"/>
        </w:rPr>
        <w:t>in</w:t>
      </w:r>
      <w:r>
        <w:rPr>
          <w:rFonts w:ascii="Arial" w:hAnsi="Arial" w:cs="Arial"/>
          <w:b/>
          <w:bCs/>
          <w:sz w:val="32"/>
          <w:szCs w:val="32"/>
          <w:lang w:val="en-GB"/>
        </w:rPr>
        <w:t xml:space="preserve"> </w:t>
      </w:r>
      <w:r w:rsidRPr="00181149">
        <w:rPr>
          <w:rFonts w:ascii="Arial" w:hAnsi="Arial" w:cs="Arial"/>
          <w:b/>
          <w:bCs/>
          <w:sz w:val="32"/>
          <w:szCs w:val="32"/>
          <w:lang w:val="en-GB"/>
        </w:rPr>
        <w:t>calcium alginate gel beads</w:t>
      </w:r>
      <w:r w:rsidR="00130F94">
        <w:rPr>
          <w:rFonts w:ascii="Arial" w:hAnsi="Arial" w:cs="Arial"/>
          <w:b/>
          <w:bCs/>
          <w:sz w:val="32"/>
          <w:szCs w:val="32"/>
          <w:lang w:val="en-GB"/>
        </w:rPr>
        <w:t xml:space="preserve"> </w:t>
      </w:r>
    </w:p>
    <w:p w14:paraId="03CF2187" w14:textId="1D296E90" w:rsidR="00181149" w:rsidRPr="00D50D74" w:rsidRDefault="00181149" w:rsidP="00181149">
      <w:pPr>
        <w:widowControl/>
        <w:autoSpaceDE w:val="0"/>
        <w:autoSpaceDN w:val="0"/>
        <w:rPr>
          <w:rFonts w:ascii="Times New Roman" w:eastAsia="宋体" w:hAnsi="Times New Roman" w:cs="Times New Roman"/>
          <w:kern w:val="0"/>
          <w:sz w:val="24"/>
          <w:szCs w:val="24"/>
          <w:lang w:val="en-GB"/>
        </w:rPr>
      </w:pPr>
      <w:r>
        <w:rPr>
          <w:rFonts w:ascii="Times New Roman" w:eastAsia="宋体" w:hAnsi="Times New Roman" w:cs="Times New Roman"/>
          <w:kern w:val="0"/>
          <w:sz w:val="24"/>
          <w:szCs w:val="24"/>
          <w:lang w:val="en-GB"/>
        </w:rPr>
        <w:t>Fang Zhong</w:t>
      </w:r>
      <w:r w:rsidRPr="00181149">
        <w:rPr>
          <w:rFonts w:ascii="Times New Roman" w:eastAsia="宋体" w:hAnsi="Times New Roman" w:cs="Times New Roman"/>
          <w:kern w:val="0"/>
          <w:sz w:val="24"/>
          <w:szCs w:val="24"/>
          <w:vertAlign w:val="superscript"/>
          <w:lang w:val="en-GB"/>
        </w:rPr>
        <w:t>1,2,3,4</w:t>
      </w:r>
      <w:r>
        <w:rPr>
          <w:rFonts w:ascii="Times New Roman" w:eastAsia="宋体" w:hAnsi="Times New Roman" w:cs="Times New Roman"/>
          <w:kern w:val="0"/>
          <w:sz w:val="24"/>
          <w:szCs w:val="24"/>
          <w:lang w:val="en-GB"/>
        </w:rPr>
        <w:t>, Yongkai Yuan</w:t>
      </w:r>
      <w:r w:rsidRPr="00181149">
        <w:rPr>
          <w:rFonts w:ascii="Times New Roman" w:eastAsia="宋体" w:hAnsi="Times New Roman" w:cs="Times New Roman"/>
          <w:kern w:val="0"/>
          <w:sz w:val="24"/>
          <w:szCs w:val="24"/>
          <w:vertAlign w:val="superscript"/>
          <w:lang w:val="en-GB"/>
        </w:rPr>
        <w:t>1,2,3,4</w:t>
      </w:r>
      <w:r w:rsidR="00D50D74">
        <w:rPr>
          <w:rFonts w:ascii="Times New Roman" w:eastAsia="宋体" w:hAnsi="Times New Roman" w:cs="Times New Roman"/>
          <w:kern w:val="0"/>
          <w:sz w:val="24"/>
          <w:szCs w:val="24"/>
          <w:lang w:val="en-GB"/>
        </w:rPr>
        <w:t>, and Katerina Pissaridi</w:t>
      </w:r>
      <w:r w:rsidR="00D50D74" w:rsidRPr="00D50D74">
        <w:rPr>
          <w:rFonts w:ascii="Times New Roman" w:eastAsia="宋体" w:hAnsi="Times New Roman" w:cs="Times New Roman"/>
          <w:kern w:val="0"/>
          <w:sz w:val="24"/>
          <w:szCs w:val="24"/>
          <w:vertAlign w:val="superscript"/>
          <w:lang w:val="en-GB"/>
        </w:rPr>
        <w:t>5</w:t>
      </w:r>
    </w:p>
    <w:p w14:paraId="71AAAC38" w14:textId="778DA86E" w:rsidR="00181149" w:rsidRPr="00181149" w:rsidRDefault="00181149" w:rsidP="00181149">
      <w:pPr>
        <w:widowControl/>
        <w:autoSpaceDE w:val="0"/>
        <w:autoSpaceDN w:val="0"/>
        <w:rPr>
          <w:rFonts w:ascii="Times New Roman" w:eastAsia="宋体" w:hAnsi="Times New Roman" w:cs="Times New Roman"/>
          <w:i/>
          <w:iCs/>
          <w:kern w:val="0"/>
          <w:sz w:val="24"/>
          <w:szCs w:val="24"/>
        </w:rPr>
      </w:pPr>
      <w:r w:rsidRPr="00181149">
        <w:rPr>
          <w:rFonts w:ascii="Times New Roman" w:eastAsia="宋体" w:hAnsi="Times New Roman" w:cs="Times New Roman"/>
          <w:i/>
          <w:iCs/>
          <w:kern w:val="0"/>
          <w:sz w:val="24"/>
          <w:szCs w:val="24"/>
          <w:vertAlign w:val="superscript"/>
        </w:rPr>
        <w:t>1</w:t>
      </w:r>
      <w:r w:rsidRPr="00181149">
        <w:rPr>
          <w:rFonts w:ascii="Times New Roman" w:eastAsia="宋体" w:hAnsi="Times New Roman" w:cs="Times New Roman"/>
          <w:i/>
          <w:iCs/>
          <w:kern w:val="0"/>
          <w:sz w:val="24"/>
          <w:szCs w:val="24"/>
        </w:rPr>
        <w:t>State Key Laboratory of Food Science and Technology, Jiangnan University, Wuxi 214122, China</w:t>
      </w:r>
    </w:p>
    <w:p w14:paraId="3B9DC3A0" w14:textId="10838D3C" w:rsidR="00181149" w:rsidRPr="00181149" w:rsidRDefault="00181149" w:rsidP="00181149">
      <w:pPr>
        <w:widowControl/>
        <w:autoSpaceDE w:val="0"/>
        <w:autoSpaceDN w:val="0"/>
        <w:rPr>
          <w:rFonts w:ascii="Times New Roman" w:eastAsia="宋体" w:hAnsi="Times New Roman" w:cs="Times New Roman"/>
          <w:i/>
          <w:iCs/>
          <w:kern w:val="0"/>
          <w:sz w:val="24"/>
          <w:szCs w:val="24"/>
        </w:rPr>
      </w:pPr>
      <w:r w:rsidRPr="00181149">
        <w:rPr>
          <w:rFonts w:ascii="Times New Roman" w:eastAsia="宋体" w:hAnsi="Times New Roman" w:cs="Times New Roman"/>
          <w:i/>
          <w:iCs/>
          <w:kern w:val="0"/>
          <w:sz w:val="24"/>
          <w:szCs w:val="24"/>
          <w:vertAlign w:val="superscript"/>
        </w:rPr>
        <w:t>2</w:t>
      </w:r>
      <w:r w:rsidRPr="00181149">
        <w:rPr>
          <w:rFonts w:ascii="Times New Roman" w:eastAsia="宋体" w:hAnsi="Times New Roman" w:cs="Times New Roman"/>
          <w:i/>
          <w:iCs/>
          <w:kern w:val="0"/>
          <w:sz w:val="24"/>
          <w:szCs w:val="24"/>
        </w:rPr>
        <w:t>Science Center for Future Foods, Jiangnan University, Wuxi 214122, China</w:t>
      </w:r>
    </w:p>
    <w:p w14:paraId="2E669E87" w14:textId="21CDE149" w:rsidR="00181149" w:rsidRPr="00181149" w:rsidRDefault="00181149" w:rsidP="00181149">
      <w:pPr>
        <w:widowControl/>
        <w:autoSpaceDE w:val="0"/>
        <w:autoSpaceDN w:val="0"/>
        <w:rPr>
          <w:rFonts w:ascii="Times New Roman" w:eastAsia="宋体" w:hAnsi="Times New Roman" w:cs="Times New Roman"/>
          <w:i/>
          <w:iCs/>
          <w:kern w:val="0"/>
          <w:sz w:val="24"/>
          <w:szCs w:val="24"/>
        </w:rPr>
      </w:pPr>
      <w:r w:rsidRPr="00181149">
        <w:rPr>
          <w:rFonts w:ascii="Times New Roman" w:eastAsia="宋体" w:hAnsi="Times New Roman" w:cs="Times New Roman"/>
          <w:i/>
          <w:iCs/>
          <w:kern w:val="0"/>
          <w:sz w:val="24"/>
          <w:szCs w:val="24"/>
          <w:vertAlign w:val="superscript"/>
        </w:rPr>
        <w:t>3</w:t>
      </w:r>
      <w:r w:rsidRPr="00181149">
        <w:rPr>
          <w:rFonts w:ascii="Times New Roman" w:eastAsia="宋体" w:hAnsi="Times New Roman" w:cs="Times New Roman"/>
          <w:i/>
          <w:iCs/>
          <w:kern w:val="0"/>
          <w:sz w:val="24"/>
          <w:szCs w:val="24"/>
        </w:rPr>
        <w:t>School of Food Science and Technology, Jiangnan University, Wuxi 214122, China</w:t>
      </w:r>
    </w:p>
    <w:p w14:paraId="31DC6CDF" w14:textId="59833F6F" w:rsidR="00181149" w:rsidRDefault="00181149" w:rsidP="00181149">
      <w:pPr>
        <w:widowControl/>
        <w:autoSpaceDE w:val="0"/>
        <w:autoSpaceDN w:val="0"/>
        <w:rPr>
          <w:rFonts w:ascii="Times New Roman" w:eastAsia="宋体" w:hAnsi="Times New Roman" w:cs="Times New Roman"/>
          <w:i/>
          <w:iCs/>
          <w:kern w:val="0"/>
          <w:sz w:val="24"/>
          <w:szCs w:val="24"/>
        </w:rPr>
      </w:pPr>
      <w:r w:rsidRPr="00181149">
        <w:rPr>
          <w:rFonts w:ascii="Times New Roman" w:eastAsia="宋体" w:hAnsi="Times New Roman" w:cs="Times New Roman"/>
          <w:i/>
          <w:iCs/>
          <w:kern w:val="0"/>
          <w:sz w:val="24"/>
          <w:szCs w:val="24"/>
          <w:vertAlign w:val="superscript"/>
        </w:rPr>
        <w:t>4</w:t>
      </w:r>
      <w:r w:rsidRPr="00181149">
        <w:rPr>
          <w:rFonts w:ascii="Times New Roman" w:eastAsia="宋体" w:hAnsi="Times New Roman" w:cs="Times New Roman"/>
          <w:i/>
          <w:iCs/>
          <w:kern w:val="0"/>
          <w:sz w:val="24"/>
          <w:szCs w:val="24"/>
        </w:rPr>
        <w:t>International Joint Laboratory on Food Safety, Jiangnan University, Wuxi 214122, China</w:t>
      </w:r>
    </w:p>
    <w:p w14:paraId="1B257D36" w14:textId="2714F7FC" w:rsidR="00D50D74" w:rsidRPr="00181149" w:rsidRDefault="00D50D74" w:rsidP="00181149">
      <w:pPr>
        <w:widowControl/>
        <w:autoSpaceDE w:val="0"/>
        <w:autoSpaceDN w:val="0"/>
        <w:rPr>
          <w:rFonts w:ascii="Times New Roman" w:eastAsia="宋体" w:hAnsi="Times New Roman" w:cs="Times New Roman"/>
          <w:i/>
          <w:iCs/>
          <w:kern w:val="0"/>
          <w:sz w:val="24"/>
          <w:szCs w:val="24"/>
        </w:rPr>
      </w:pPr>
      <w:r w:rsidRPr="00D50D74">
        <w:rPr>
          <w:rFonts w:ascii="Times New Roman" w:eastAsia="宋体" w:hAnsi="Times New Roman" w:cs="Times New Roman" w:hint="eastAsia"/>
          <w:i/>
          <w:iCs/>
          <w:kern w:val="0"/>
          <w:sz w:val="24"/>
          <w:szCs w:val="24"/>
          <w:vertAlign w:val="superscript"/>
        </w:rPr>
        <w:t>5</w:t>
      </w:r>
      <w:r w:rsidRPr="00D50D74">
        <w:rPr>
          <w:rFonts w:ascii="Times New Roman" w:eastAsia="宋体" w:hAnsi="Times New Roman" w:cs="Times New Roman"/>
          <w:i/>
          <w:iCs/>
          <w:kern w:val="0"/>
          <w:sz w:val="24"/>
          <w:szCs w:val="24"/>
        </w:rPr>
        <w:t>YIOTIS S.A., 128-130 Kifisou Av., Athens 12131, Greece</w:t>
      </w:r>
    </w:p>
    <w:p w14:paraId="3F512FFF" w14:textId="687BBE43" w:rsidR="00181149" w:rsidRPr="00181149" w:rsidRDefault="00181149" w:rsidP="00181149">
      <w:pPr>
        <w:rPr>
          <w:rFonts w:ascii="Arial" w:eastAsia="宋体" w:hAnsi="Arial" w:cs="Arial"/>
          <w:kern w:val="0"/>
          <w:sz w:val="22"/>
          <w:lang w:val="en-GB"/>
        </w:rPr>
      </w:pPr>
      <w:r w:rsidRPr="00181149">
        <w:rPr>
          <w:rFonts w:ascii="Arial" w:eastAsia="宋体" w:hAnsi="Arial" w:cs="Arial"/>
          <w:kern w:val="0"/>
          <w:sz w:val="22"/>
          <w:lang w:val="en-GB"/>
        </w:rPr>
        <w:t>Cell-mediated chemistry is an emerging strategy that leverages the metabolic process of living cells to build advanced materials. Here, a simple yet versatile microbe-mediated in situ re-culture approach using calcium alginate gel beads to</w:t>
      </w:r>
      <w:bookmarkStart w:id="0" w:name="_Hlk125385480"/>
      <w:r w:rsidRPr="00181149">
        <w:rPr>
          <w:rFonts w:ascii="Arial" w:eastAsia="宋体" w:hAnsi="Arial" w:cs="Arial"/>
          <w:kern w:val="0"/>
          <w:sz w:val="22"/>
          <w:lang w:val="en-GB"/>
        </w:rPr>
        <w:t xml:space="preserve"> </w:t>
      </w:r>
      <w:r w:rsidRPr="00181149">
        <w:rPr>
          <w:rFonts w:ascii="Arial" w:eastAsia="宋体" w:hAnsi="Arial" w:cs="Arial" w:hint="eastAsia"/>
          <w:kern w:val="0"/>
          <w:sz w:val="22"/>
          <w:lang w:val="en-GB"/>
        </w:rPr>
        <w:t>improve</w:t>
      </w:r>
      <w:r w:rsidRPr="00181149">
        <w:rPr>
          <w:rFonts w:ascii="Arial" w:eastAsia="宋体" w:hAnsi="Arial" w:cs="Arial"/>
          <w:kern w:val="0"/>
          <w:sz w:val="22"/>
          <w:lang w:val="en-GB"/>
        </w:rPr>
        <w:t xml:space="preserve"> the survival of probiotics</w:t>
      </w:r>
      <w:bookmarkEnd w:id="0"/>
      <w:r w:rsidRPr="00181149">
        <w:rPr>
          <w:rFonts w:ascii="Arial" w:eastAsia="宋体" w:hAnsi="Arial" w:cs="Arial"/>
          <w:kern w:val="0"/>
          <w:sz w:val="22"/>
          <w:lang w:val="en-GB"/>
        </w:rPr>
        <w:t xml:space="preserve"> was reported. </w:t>
      </w:r>
      <w:bookmarkStart w:id="1" w:name="_Hlk116064119"/>
      <w:r w:rsidRPr="00181149">
        <w:rPr>
          <w:rFonts w:ascii="Arial" w:eastAsia="宋体" w:hAnsi="Arial" w:cs="Arial"/>
          <w:kern w:val="0"/>
          <w:sz w:val="22"/>
          <w:lang w:val="en-GB"/>
        </w:rPr>
        <w:t xml:space="preserve">After re-culture, </w:t>
      </w:r>
      <w:bookmarkStart w:id="2" w:name="_Hlk114756493"/>
      <w:r w:rsidRPr="00181149">
        <w:rPr>
          <w:rFonts w:ascii="Arial" w:eastAsia="宋体" w:hAnsi="Arial" w:cs="Arial"/>
          <w:kern w:val="0"/>
          <w:sz w:val="22"/>
          <w:lang w:val="en-GB"/>
        </w:rPr>
        <w:t xml:space="preserve">Lactobacillus rhamnosus GG (LGG) in </w:t>
      </w:r>
      <w:r w:rsidRPr="00181149">
        <w:rPr>
          <w:rFonts w:ascii="Arial" w:eastAsia="宋体" w:hAnsi="Arial" w:cs="Arial" w:hint="eastAsia"/>
          <w:kern w:val="0"/>
          <w:sz w:val="22"/>
          <w:lang w:val="en-GB"/>
        </w:rPr>
        <w:t>both</w:t>
      </w:r>
      <w:r w:rsidRPr="00181149">
        <w:rPr>
          <w:rFonts w:ascii="Arial" w:eastAsia="宋体" w:hAnsi="Arial" w:cs="Arial"/>
          <w:kern w:val="0"/>
          <w:sz w:val="22"/>
          <w:lang w:val="en-GB"/>
        </w:rPr>
        <w:t xml:space="preserve"> </w:t>
      </w:r>
      <w:r w:rsidRPr="00181149">
        <w:rPr>
          <w:rFonts w:ascii="Arial" w:eastAsia="宋体" w:hAnsi="Arial" w:cs="Arial" w:hint="eastAsia"/>
          <w:kern w:val="0"/>
          <w:sz w:val="22"/>
          <w:lang w:val="en-GB"/>
        </w:rPr>
        <w:t>liquid</w:t>
      </w:r>
      <w:r w:rsidRPr="00181149">
        <w:rPr>
          <w:rFonts w:ascii="Arial" w:eastAsia="宋体" w:hAnsi="Arial" w:cs="Arial"/>
          <w:kern w:val="0"/>
          <w:sz w:val="22"/>
          <w:lang w:val="en-GB"/>
        </w:rPr>
        <w:t xml:space="preserve"> and solid core gel beads (LCGB and SCGB) exhibited 100% gastric acid resistance, while the bile salt resistance varied from 59.38% to 92.39%.</w:t>
      </w:r>
      <w:bookmarkEnd w:id="2"/>
      <w:r w:rsidRPr="00181149">
        <w:rPr>
          <w:rFonts w:ascii="Arial" w:eastAsia="宋体" w:hAnsi="Arial" w:cs="Arial"/>
          <w:kern w:val="0"/>
          <w:sz w:val="22"/>
          <w:lang w:val="en-GB"/>
        </w:rPr>
        <w:t xml:space="preserve"> </w:t>
      </w:r>
      <w:bookmarkStart w:id="3" w:name="_Hlk114756577"/>
      <w:r w:rsidRPr="00181149">
        <w:rPr>
          <w:rFonts w:ascii="Arial" w:eastAsia="宋体" w:hAnsi="Arial" w:cs="Arial"/>
          <w:kern w:val="0"/>
          <w:sz w:val="22"/>
          <w:lang w:val="en-GB"/>
        </w:rPr>
        <w:t>LGG in LCGB generally showed higher bile salt resistance than SCGB, and the resistance would be further improved with high initial bacterial concentration due to more extracellular polymer secretion. Besides, the re-cultured LGG in beads exhibited survival of 95.02%-96.05% in calcium-supplemented MRS broth within 6 weeks at 4 °C.</w:t>
      </w:r>
      <w:bookmarkEnd w:id="1"/>
      <w:bookmarkEnd w:id="3"/>
      <w:r w:rsidRPr="00181149">
        <w:rPr>
          <w:rFonts w:ascii="Arial" w:eastAsia="宋体" w:hAnsi="Arial" w:cs="Arial"/>
          <w:kern w:val="0"/>
          <w:sz w:val="22"/>
          <w:lang w:val="en-GB"/>
        </w:rPr>
        <w:t xml:space="preserve"> </w:t>
      </w:r>
      <w:r w:rsidR="00430C5D" w:rsidRPr="00430C5D">
        <w:rPr>
          <w:rFonts w:ascii="Arial" w:eastAsia="宋体" w:hAnsi="Arial" w:cs="Arial"/>
          <w:kern w:val="0"/>
          <w:sz w:val="22"/>
          <w:lang w:val="en-GB"/>
        </w:rPr>
        <w:t xml:space="preserve">And </w:t>
      </w:r>
      <w:r w:rsidR="00430C5D">
        <w:rPr>
          <w:rFonts w:ascii="Arial" w:eastAsia="宋体" w:hAnsi="Arial" w:cs="Arial"/>
          <w:kern w:val="0"/>
          <w:sz w:val="22"/>
          <w:lang w:val="en-GB"/>
        </w:rPr>
        <w:t>t</w:t>
      </w:r>
      <w:r w:rsidR="00430C5D">
        <w:rPr>
          <w:rFonts w:ascii="Arial" w:eastAsia="宋体" w:hAnsi="Arial" w:cs="Arial" w:hint="eastAsia"/>
          <w:kern w:val="0"/>
          <w:sz w:val="22"/>
          <w:lang w:val="en-GB"/>
        </w:rPr>
        <w:t>he</w:t>
      </w:r>
      <w:r w:rsidR="00430C5D">
        <w:rPr>
          <w:rFonts w:ascii="Arial" w:eastAsia="宋体" w:hAnsi="Arial" w:cs="Arial"/>
          <w:kern w:val="0"/>
          <w:sz w:val="22"/>
          <w:lang w:val="en-GB"/>
        </w:rPr>
        <w:t xml:space="preserve"> survival of </w:t>
      </w:r>
      <w:r w:rsidR="00430C5D" w:rsidRPr="00181149">
        <w:rPr>
          <w:rFonts w:ascii="Arial" w:eastAsia="宋体" w:hAnsi="Arial" w:cs="Arial"/>
          <w:kern w:val="0"/>
          <w:sz w:val="22"/>
          <w:lang w:val="en-GB"/>
        </w:rPr>
        <w:t>the re-cultured LGG in</w:t>
      </w:r>
      <w:r w:rsidR="00430C5D">
        <w:rPr>
          <w:rFonts w:ascii="Arial" w:eastAsia="宋体" w:hAnsi="Arial" w:cs="Arial"/>
          <w:kern w:val="0"/>
          <w:sz w:val="22"/>
          <w:lang w:val="en-GB"/>
        </w:rPr>
        <w:t xml:space="preserve"> </w:t>
      </w:r>
      <w:r w:rsidR="00430C5D" w:rsidRPr="00181149">
        <w:rPr>
          <w:rFonts w:ascii="Arial" w:eastAsia="宋体" w:hAnsi="Arial" w:cs="Arial"/>
          <w:kern w:val="0"/>
          <w:sz w:val="22"/>
          <w:lang w:val="en-GB"/>
        </w:rPr>
        <w:t xml:space="preserve">LCGB </w:t>
      </w:r>
      <w:r w:rsidR="00430C5D">
        <w:rPr>
          <w:rFonts w:ascii="Arial" w:eastAsia="宋体" w:hAnsi="Arial" w:cs="Arial"/>
          <w:kern w:val="0"/>
          <w:sz w:val="22"/>
          <w:lang w:val="en-GB"/>
        </w:rPr>
        <w:t xml:space="preserve">was more than </w:t>
      </w:r>
      <w:r w:rsidR="00430C5D" w:rsidRPr="00430C5D">
        <w:rPr>
          <w:rFonts w:ascii="Arial" w:eastAsia="宋体" w:hAnsi="Arial" w:cs="Arial"/>
          <w:kern w:val="0"/>
          <w:sz w:val="22"/>
          <w:lang w:val="en-GB"/>
        </w:rPr>
        <w:t>90% in yogurt, milk, milk tea</w:t>
      </w:r>
      <w:r w:rsidR="00D50D74">
        <w:rPr>
          <w:rFonts w:ascii="Arial" w:eastAsia="宋体" w:hAnsi="Arial" w:cs="Arial"/>
          <w:kern w:val="0"/>
          <w:sz w:val="22"/>
          <w:lang w:val="en-GB"/>
        </w:rPr>
        <w:t>,</w:t>
      </w:r>
      <w:r w:rsidR="00430C5D" w:rsidRPr="00430C5D">
        <w:rPr>
          <w:rFonts w:ascii="Arial" w:eastAsia="宋体" w:hAnsi="Arial" w:cs="Arial"/>
          <w:kern w:val="0"/>
          <w:sz w:val="22"/>
          <w:lang w:val="en-GB"/>
        </w:rPr>
        <w:t xml:space="preserve"> and juice respectively</w:t>
      </w:r>
      <w:r w:rsidR="00D50D74">
        <w:rPr>
          <w:rFonts w:ascii="Arial" w:eastAsia="宋体" w:hAnsi="Arial" w:cs="Arial"/>
          <w:kern w:val="0"/>
          <w:sz w:val="22"/>
          <w:lang w:val="en-GB"/>
        </w:rPr>
        <w:t xml:space="preserve"> </w:t>
      </w:r>
      <w:r w:rsidR="00D50D74" w:rsidRPr="00181149">
        <w:rPr>
          <w:rFonts w:ascii="Arial" w:eastAsia="宋体" w:hAnsi="Arial" w:cs="Arial"/>
          <w:kern w:val="0"/>
          <w:sz w:val="22"/>
          <w:lang w:val="en-GB"/>
        </w:rPr>
        <w:t>within 6 weeks at 4 °C</w:t>
      </w:r>
      <w:r w:rsidR="00430C5D" w:rsidRPr="00430C5D">
        <w:rPr>
          <w:rFonts w:ascii="Arial" w:eastAsia="宋体" w:hAnsi="Arial" w:cs="Arial"/>
          <w:kern w:val="0"/>
          <w:sz w:val="22"/>
          <w:lang w:val="en-GB"/>
        </w:rPr>
        <w:t xml:space="preserve">, followed by semi-solid jelly </w:t>
      </w:r>
      <w:r w:rsidR="00430C5D">
        <w:rPr>
          <w:rFonts w:ascii="Arial" w:eastAsia="宋体" w:hAnsi="Arial" w:cs="Arial"/>
          <w:kern w:val="0"/>
          <w:sz w:val="22"/>
          <w:lang w:val="en-GB"/>
        </w:rPr>
        <w:t>(85.81%)</w:t>
      </w:r>
      <w:r w:rsidR="00430C5D" w:rsidRPr="00181149">
        <w:rPr>
          <w:rFonts w:ascii="Arial" w:eastAsia="宋体" w:hAnsi="Arial" w:cs="Arial"/>
          <w:kern w:val="0"/>
          <w:sz w:val="22"/>
          <w:lang w:val="en-GB"/>
        </w:rPr>
        <w:t>.</w:t>
      </w:r>
      <w:r w:rsidR="00430C5D">
        <w:rPr>
          <w:rFonts w:ascii="Arial" w:eastAsia="宋体" w:hAnsi="Arial" w:cs="Arial"/>
          <w:kern w:val="0"/>
          <w:sz w:val="22"/>
          <w:lang w:val="en-GB"/>
        </w:rPr>
        <w:t xml:space="preserve"> </w:t>
      </w:r>
      <w:r w:rsidR="00430C5D" w:rsidRPr="00430C5D">
        <w:rPr>
          <w:rFonts w:ascii="Arial" w:eastAsia="宋体" w:hAnsi="Arial" w:cs="Arial"/>
          <w:kern w:val="0"/>
          <w:sz w:val="22"/>
          <w:lang w:val="en-GB"/>
        </w:rPr>
        <w:t>The addition of inulin ha</w:t>
      </w:r>
      <w:r w:rsidR="00415B89">
        <w:rPr>
          <w:rFonts w:ascii="Arial" w:eastAsia="宋体" w:hAnsi="Arial" w:cs="Arial"/>
          <w:kern w:val="0"/>
          <w:sz w:val="22"/>
          <w:lang w:val="en-GB"/>
        </w:rPr>
        <w:t>d</w:t>
      </w:r>
      <w:r w:rsidR="00430C5D" w:rsidRPr="00430C5D">
        <w:rPr>
          <w:rFonts w:ascii="Arial" w:eastAsia="宋体" w:hAnsi="Arial" w:cs="Arial"/>
          <w:kern w:val="0"/>
          <w:sz w:val="22"/>
          <w:lang w:val="en-GB"/>
        </w:rPr>
        <w:t xml:space="preserve"> no adverse effect on the </w:t>
      </w:r>
      <w:r w:rsidR="00D50D74">
        <w:rPr>
          <w:rFonts w:ascii="Arial" w:eastAsia="宋体" w:hAnsi="Arial" w:cs="Arial"/>
          <w:kern w:val="0"/>
          <w:sz w:val="22"/>
          <w:lang w:val="en-GB"/>
        </w:rPr>
        <w:t xml:space="preserve">above </w:t>
      </w:r>
      <w:r w:rsidR="00430C5D" w:rsidRPr="00430C5D">
        <w:rPr>
          <w:rFonts w:ascii="Arial" w:eastAsia="宋体" w:hAnsi="Arial" w:cs="Arial"/>
          <w:kern w:val="0"/>
          <w:sz w:val="22"/>
          <w:lang w:val="en-GB"/>
        </w:rPr>
        <w:t xml:space="preserve">storage </w:t>
      </w:r>
      <w:r w:rsidR="00D50D74">
        <w:rPr>
          <w:rFonts w:ascii="Arial" w:eastAsia="宋体" w:hAnsi="Arial" w:cs="Arial"/>
          <w:kern w:val="0"/>
          <w:sz w:val="22"/>
          <w:lang w:val="en-GB"/>
        </w:rPr>
        <w:t xml:space="preserve">survival </w:t>
      </w:r>
      <w:r w:rsidR="00430C5D" w:rsidRPr="00430C5D">
        <w:rPr>
          <w:rFonts w:ascii="Arial" w:eastAsia="宋体" w:hAnsi="Arial" w:cs="Arial"/>
          <w:kern w:val="0"/>
          <w:sz w:val="22"/>
          <w:lang w:val="en-GB"/>
        </w:rPr>
        <w:t>of re-cultured LGG</w:t>
      </w:r>
      <w:r w:rsidR="00D50D74">
        <w:rPr>
          <w:rFonts w:ascii="Arial" w:eastAsia="宋体" w:hAnsi="Arial" w:cs="Arial"/>
          <w:kern w:val="0"/>
          <w:sz w:val="22"/>
          <w:lang w:val="en-GB"/>
        </w:rPr>
        <w:t xml:space="preserve"> in </w:t>
      </w:r>
      <w:r w:rsidR="00D50D74" w:rsidRPr="00181149">
        <w:rPr>
          <w:rFonts w:ascii="Arial" w:eastAsia="宋体" w:hAnsi="Arial" w:cs="Arial"/>
          <w:kern w:val="0"/>
          <w:sz w:val="22"/>
          <w:lang w:val="en-GB"/>
        </w:rPr>
        <w:t>LCGB</w:t>
      </w:r>
      <w:r w:rsidR="00430C5D" w:rsidRPr="00430C5D">
        <w:rPr>
          <w:rFonts w:ascii="Arial" w:eastAsia="宋体" w:hAnsi="Arial" w:cs="Arial"/>
          <w:kern w:val="0"/>
          <w:sz w:val="22"/>
          <w:lang w:val="en-GB"/>
        </w:rPr>
        <w:t xml:space="preserve">, indicating </w:t>
      </w:r>
      <w:r w:rsidR="00D50D74">
        <w:rPr>
          <w:rFonts w:ascii="Arial" w:eastAsia="宋体" w:hAnsi="Arial" w:cs="Arial"/>
          <w:kern w:val="0"/>
          <w:sz w:val="22"/>
          <w:lang w:val="en-GB"/>
        </w:rPr>
        <w:t xml:space="preserve">the possibility of the construction of </w:t>
      </w:r>
      <w:r w:rsidR="00430C5D" w:rsidRPr="00430C5D">
        <w:rPr>
          <w:rFonts w:ascii="Arial" w:eastAsia="宋体" w:hAnsi="Arial" w:cs="Arial"/>
          <w:kern w:val="0"/>
          <w:sz w:val="22"/>
          <w:lang w:val="en-GB"/>
        </w:rPr>
        <w:t>synbiotic</w:t>
      </w:r>
      <w:r w:rsidR="00D50D74">
        <w:rPr>
          <w:rFonts w:ascii="Arial" w:eastAsia="宋体" w:hAnsi="Arial" w:cs="Arial"/>
          <w:kern w:val="0"/>
          <w:sz w:val="22"/>
          <w:lang w:val="en-GB"/>
        </w:rPr>
        <w:t xml:space="preserve">. </w:t>
      </w:r>
      <w:r w:rsidRPr="00181149">
        <w:rPr>
          <w:rFonts w:ascii="Arial" w:eastAsia="宋体" w:hAnsi="Arial" w:cs="Arial"/>
          <w:kern w:val="0"/>
          <w:sz w:val="22"/>
          <w:lang w:val="en-GB"/>
        </w:rPr>
        <w:t>Combined transcriptome and metabolome analysis of LCGB implied that the mechanism of LGG damage by gastric acid included 8 pathways, among which, 2 pathways including propanoate metabolism, phenylalanine, tyrosine and tryptophan biosynthesis were responsible for the improved gastric acid resistance of re-cultured LGG. The unique liquid core matrix presents a powerful platform for the formation of probiotics in biofilm state, enabling the integration of probiotics with high density, high gastrointestinal resistance, and commerci</w:t>
      </w:r>
      <w:bookmarkStart w:id="4" w:name="_GoBack"/>
      <w:bookmarkEnd w:id="4"/>
      <w:r w:rsidRPr="00181149">
        <w:rPr>
          <w:rFonts w:ascii="Arial" w:eastAsia="宋体" w:hAnsi="Arial" w:cs="Arial"/>
          <w:kern w:val="0"/>
          <w:sz w:val="22"/>
          <w:lang w:val="en-GB"/>
        </w:rPr>
        <w:t>al production feasibility.</w:t>
      </w:r>
    </w:p>
    <w:sectPr w:rsidR="00181149" w:rsidRPr="00181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46C8" w14:textId="77777777" w:rsidR="008251BA" w:rsidRDefault="008251BA" w:rsidP="00181149">
      <w:r>
        <w:separator/>
      </w:r>
    </w:p>
  </w:endnote>
  <w:endnote w:type="continuationSeparator" w:id="0">
    <w:p w14:paraId="48AD87B4" w14:textId="77777777" w:rsidR="008251BA" w:rsidRDefault="008251BA" w:rsidP="0018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7B8BE" w14:textId="77777777" w:rsidR="008251BA" w:rsidRDefault="008251BA" w:rsidP="00181149">
      <w:r>
        <w:separator/>
      </w:r>
    </w:p>
  </w:footnote>
  <w:footnote w:type="continuationSeparator" w:id="0">
    <w:p w14:paraId="5329A6FB" w14:textId="77777777" w:rsidR="008251BA" w:rsidRDefault="008251BA" w:rsidP="0018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2NTI1MDM1MjE0MrdU0lEKTi0uzszPAykwrgUAAKnKZSwAAAA="/>
  </w:docVars>
  <w:rsids>
    <w:rsidRoot w:val="008E79B2"/>
    <w:rsid w:val="00130F94"/>
    <w:rsid w:val="00181149"/>
    <w:rsid w:val="00415B89"/>
    <w:rsid w:val="00430C5D"/>
    <w:rsid w:val="00435ECA"/>
    <w:rsid w:val="005A692B"/>
    <w:rsid w:val="008251BA"/>
    <w:rsid w:val="008E79B2"/>
    <w:rsid w:val="00C714EC"/>
    <w:rsid w:val="00CB4087"/>
    <w:rsid w:val="00D159CB"/>
    <w:rsid w:val="00D50D74"/>
    <w:rsid w:val="00E6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24E5C"/>
  <w15:chartTrackingRefBased/>
  <w15:docId w15:val="{1DFA533F-EE01-42F0-A7A3-580865A3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1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1149"/>
    <w:rPr>
      <w:sz w:val="18"/>
      <w:szCs w:val="18"/>
    </w:rPr>
  </w:style>
  <w:style w:type="paragraph" w:styleId="a5">
    <w:name w:val="footer"/>
    <w:basedOn w:val="a"/>
    <w:link w:val="a6"/>
    <w:uiPriority w:val="99"/>
    <w:unhideWhenUsed/>
    <w:rsid w:val="00181149"/>
    <w:pPr>
      <w:tabs>
        <w:tab w:val="center" w:pos="4153"/>
        <w:tab w:val="right" w:pos="8306"/>
      </w:tabs>
      <w:snapToGrid w:val="0"/>
      <w:jc w:val="left"/>
    </w:pPr>
    <w:rPr>
      <w:sz w:val="18"/>
      <w:szCs w:val="18"/>
    </w:rPr>
  </w:style>
  <w:style w:type="character" w:customStyle="1" w:styleId="a6">
    <w:name w:val="页脚 字符"/>
    <w:basedOn w:val="a0"/>
    <w:link w:val="a5"/>
    <w:uiPriority w:val="99"/>
    <w:rsid w:val="00181149"/>
    <w:rPr>
      <w:sz w:val="18"/>
      <w:szCs w:val="18"/>
    </w:rPr>
  </w:style>
  <w:style w:type="paragraph" w:styleId="a7">
    <w:name w:val="Body Text"/>
    <w:basedOn w:val="a"/>
    <w:link w:val="a8"/>
    <w:rsid w:val="00181149"/>
    <w:pPr>
      <w:widowControl/>
      <w:autoSpaceDE w:val="0"/>
      <w:autoSpaceDN w:val="0"/>
      <w:jc w:val="left"/>
    </w:pPr>
    <w:rPr>
      <w:rFonts w:ascii="Arial" w:eastAsia="宋体" w:hAnsi="Arial" w:cs="Arial"/>
      <w:kern w:val="0"/>
      <w:sz w:val="24"/>
      <w:szCs w:val="24"/>
      <w:lang w:val="nb-NO"/>
    </w:rPr>
  </w:style>
  <w:style w:type="character" w:customStyle="1" w:styleId="a8">
    <w:name w:val="正文文本 字符"/>
    <w:basedOn w:val="a0"/>
    <w:link w:val="a7"/>
    <w:rsid w:val="00181149"/>
    <w:rPr>
      <w:rFonts w:ascii="Arial" w:eastAsia="宋体" w:hAnsi="Arial" w:cs="Arial"/>
      <w:kern w:val="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PC168</dc:creator>
  <cp:keywords/>
  <dc:description/>
  <cp:lastModifiedBy>Fang Zhong</cp:lastModifiedBy>
  <cp:revision>6</cp:revision>
  <dcterms:created xsi:type="dcterms:W3CDTF">2023-03-15T11:15:00Z</dcterms:created>
  <dcterms:modified xsi:type="dcterms:W3CDTF">2023-03-17T01:43:00Z</dcterms:modified>
</cp:coreProperties>
</file>