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F550A" w14:textId="77777777" w:rsidR="006B2A1E" w:rsidRDefault="00864F36">
      <w:pPr>
        <w:rPr>
          <w:rFonts w:ascii="Arial" w:hAnsi="Arial" w:cs="Arial"/>
          <w:b/>
          <w:bCs/>
          <w:sz w:val="32"/>
          <w:szCs w:val="32"/>
          <w:lang w:val="en-GB"/>
        </w:rPr>
      </w:pPr>
      <w:r>
        <w:rPr>
          <w:rFonts w:ascii="Arial" w:hAnsi="Arial" w:cs="Arial"/>
          <w:b/>
          <w:bCs/>
          <w:sz w:val="32"/>
          <w:szCs w:val="32"/>
          <w:lang w:val="en-GB"/>
        </w:rPr>
        <w:t>Structure formation in protein gels from mealworm (</w:t>
      </w:r>
      <w:r>
        <w:rPr>
          <w:rFonts w:ascii="Arial" w:hAnsi="Arial" w:cs="Arial"/>
          <w:b/>
          <w:bCs/>
          <w:i/>
          <w:sz w:val="32"/>
          <w:szCs w:val="32"/>
          <w:lang w:val="en-GB"/>
        </w:rPr>
        <w:t xml:space="preserve">Tenebrio </w:t>
      </w:r>
      <w:proofErr w:type="spellStart"/>
      <w:r>
        <w:rPr>
          <w:rFonts w:ascii="Arial" w:hAnsi="Arial" w:cs="Arial"/>
          <w:b/>
          <w:bCs/>
          <w:i/>
          <w:sz w:val="32"/>
          <w:szCs w:val="32"/>
          <w:lang w:val="en-GB"/>
        </w:rPr>
        <w:t>molitor</w:t>
      </w:r>
      <w:proofErr w:type="spellEnd"/>
      <w:r>
        <w:rPr>
          <w:rFonts w:ascii="Arial" w:hAnsi="Arial" w:cs="Arial"/>
          <w:b/>
          <w:bCs/>
          <w:sz w:val="32"/>
          <w:szCs w:val="32"/>
          <w:lang w:val="en-GB"/>
        </w:rPr>
        <w:t>)</w:t>
      </w:r>
    </w:p>
    <w:p w14:paraId="3BAE5226" w14:textId="77777777" w:rsidR="006B2A1E" w:rsidRDefault="006B2A1E">
      <w:pPr>
        <w:jc w:val="both"/>
        <w:rPr>
          <w:rFonts w:ascii="Arial" w:hAnsi="Arial" w:cs="Arial"/>
          <w:b/>
          <w:bCs/>
          <w:sz w:val="32"/>
          <w:szCs w:val="32"/>
          <w:lang w:val="en-GB"/>
        </w:rPr>
      </w:pPr>
    </w:p>
    <w:p w14:paraId="29925CD7" w14:textId="77777777" w:rsidR="006B2A1E" w:rsidRDefault="00864F36">
      <w:pPr>
        <w:jc w:val="both"/>
        <w:rPr>
          <w:sz w:val="24"/>
          <w:szCs w:val="24"/>
          <w:lang w:val="en-GB"/>
        </w:rPr>
      </w:pPr>
      <w:r>
        <w:rPr>
          <w:sz w:val="24"/>
          <w:szCs w:val="24"/>
          <w:lang w:val="en-GB"/>
        </w:rPr>
        <w:t>M. Klost</w:t>
      </w:r>
      <w:r>
        <w:rPr>
          <w:sz w:val="24"/>
          <w:szCs w:val="24"/>
          <w:vertAlign w:val="superscript"/>
          <w:lang w:val="en-GB"/>
        </w:rPr>
        <w:t>1</w:t>
      </w:r>
      <w:r>
        <w:rPr>
          <w:sz w:val="24"/>
          <w:szCs w:val="24"/>
          <w:lang w:val="en-GB"/>
        </w:rPr>
        <w:t>, R. Öztürk</w:t>
      </w:r>
      <w:r>
        <w:rPr>
          <w:sz w:val="24"/>
          <w:szCs w:val="24"/>
          <w:vertAlign w:val="superscript"/>
          <w:lang w:val="en-GB"/>
        </w:rPr>
        <w:t>1</w:t>
      </w:r>
      <w:r>
        <w:rPr>
          <w:sz w:val="24"/>
          <w:szCs w:val="24"/>
          <w:lang w:val="en-GB"/>
        </w:rPr>
        <w:t>, E. Köster</w:t>
      </w:r>
      <w:r>
        <w:rPr>
          <w:sz w:val="24"/>
          <w:szCs w:val="24"/>
          <w:vertAlign w:val="superscript"/>
          <w:lang w:val="en-GB"/>
        </w:rPr>
        <w:t>1</w:t>
      </w:r>
      <w:r>
        <w:rPr>
          <w:sz w:val="24"/>
          <w:szCs w:val="24"/>
          <w:lang w:val="en-GB"/>
        </w:rPr>
        <w:t>, M. I. Ramirez-Huerta</w:t>
      </w:r>
      <w:r>
        <w:rPr>
          <w:sz w:val="24"/>
          <w:szCs w:val="24"/>
          <w:vertAlign w:val="superscript"/>
          <w:lang w:val="en-GB"/>
        </w:rPr>
        <w:t>1</w:t>
      </w:r>
      <w:r>
        <w:rPr>
          <w:sz w:val="24"/>
          <w:szCs w:val="24"/>
          <w:lang w:val="en-GB"/>
        </w:rPr>
        <w:t xml:space="preserve"> and S. Drusch</w:t>
      </w:r>
      <w:r>
        <w:rPr>
          <w:sz w:val="24"/>
          <w:szCs w:val="24"/>
          <w:vertAlign w:val="superscript"/>
          <w:lang w:val="en-GB"/>
        </w:rPr>
        <w:t>1</w:t>
      </w:r>
    </w:p>
    <w:p w14:paraId="088EE35E" w14:textId="77777777" w:rsidR="006B2A1E" w:rsidRDefault="006B2A1E">
      <w:pPr>
        <w:jc w:val="both"/>
        <w:rPr>
          <w:sz w:val="24"/>
          <w:szCs w:val="24"/>
          <w:lang w:val="en-GB"/>
        </w:rPr>
      </w:pPr>
    </w:p>
    <w:p w14:paraId="6CB540C6" w14:textId="77777777" w:rsidR="006B2A1E" w:rsidRDefault="00864F36">
      <w:pPr>
        <w:jc w:val="both"/>
        <w:rPr>
          <w:i/>
          <w:iCs/>
          <w:sz w:val="24"/>
          <w:szCs w:val="24"/>
          <w:lang w:val="en-US"/>
        </w:rPr>
      </w:pPr>
      <w:r>
        <w:rPr>
          <w:i/>
          <w:iCs/>
          <w:sz w:val="24"/>
          <w:szCs w:val="24"/>
          <w:vertAlign w:val="superscript"/>
          <w:lang w:val="en-US"/>
        </w:rPr>
        <w:t>1</w:t>
      </w:r>
      <w:r>
        <w:rPr>
          <w:i/>
          <w:iCs/>
          <w:sz w:val="24"/>
          <w:szCs w:val="24"/>
          <w:lang w:val="en-US"/>
        </w:rPr>
        <w:t xml:space="preserve">Technische Universität Berlin, Faculty III Process Sciences, Institute of Food Technology and Food Chemistry, Department of Food Technology and Food Material Science, </w:t>
      </w:r>
      <w:proofErr w:type="spellStart"/>
      <w:r>
        <w:rPr>
          <w:i/>
          <w:iCs/>
          <w:sz w:val="24"/>
          <w:szCs w:val="24"/>
          <w:lang w:val="en-US"/>
        </w:rPr>
        <w:t>Straße</w:t>
      </w:r>
      <w:proofErr w:type="spellEnd"/>
      <w:r>
        <w:rPr>
          <w:i/>
          <w:iCs/>
          <w:sz w:val="24"/>
          <w:szCs w:val="24"/>
          <w:lang w:val="en-US"/>
        </w:rPr>
        <w:t xml:space="preserve"> des 17. </w:t>
      </w:r>
      <w:proofErr w:type="spellStart"/>
      <w:r>
        <w:rPr>
          <w:i/>
          <w:iCs/>
          <w:sz w:val="24"/>
          <w:szCs w:val="24"/>
          <w:lang w:val="en-US"/>
        </w:rPr>
        <w:t>Juni</w:t>
      </w:r>
      <w:proofErr w:type="spellEnd"/>
      <w:r>
        <w:rPr>
          <w:i/>
          <w:iCs/>
          <w:sz w:val="24"/>
          <w:szCs w:val="24"/>
          <w:lang w:val="en-US"/>
        </w:rPr>
        <w:t xml:space="preserve"> 135, 10623 Berlin, Germany</w:t>
      </w:r>
    </w:p>
    <w:p w14:paraId="0082CB8B" w14:textId="77777777" w:rsidR="006B2A1E" w:rsidRDefault="006B2A1E">
      <w:pPr>
        <w:jc w:val="center"/>
        <w:rPr>
          <w:i/>
          <w:iCs/>
          <w:sz w:val="24"/>
          <w:szCs w:val="24"/>
          <w:lang w:val="en-US"/>
        </w:rPr>
      </w:pPr>
    </w:p>
    <w:p w14:paraId="34C73E48" w14:textId="77777777" w:rsidR="006B2A1E" w:rsidRDefault="00864F36">
      <w:pPr>
        <w:jc w:val="both"/>
        <w:rPr>
          <w:rFonts w:ascii="Arial" w:hAnsi="Arial" w:cs="Arial"/>
          <w:sz w:val="22"/>
          <w:szCs w:val="22"/>
          <w:lang w:val="en-GB"/>
        </w:rPr>
      </w:pPr>
      <w:r>
        <w:rPr>
          <w:rFonts w:ascii="Arial" w:hAnsi="Arial" w:cs="Arial"/>
          <w:sz w:val="22"/>
          <w:szCs w:val="22"/>
          <w:lang w:val="en-GB"/>
        </w:rPr>
        <w:t>The farming of insects only requires a fr</w:t>
      </w:r>
      <w:r>
        <w:rPr>
          <w:rFonts w:ascii="Arial" w:hAnsi="Arial" w:cs="Arial"/>
          <w:sz w:val="22"/>
          <w:szCs w:val="22"/>
          <w:lang w:val="en-GB"/>
        </w:rPr>
        <w:t xml:space="preserve">action of land and water compared to the production of other animal derived proteins. Additionally, insects such as mealworm can be reared on organic side streams </w:t>
      </w:r>
      <w:r>
        <w:rPr>
          <w:rFonts w:ascii="Arial" w:hAnsi="Arial" w:cs="Arial"/>
          <w:sz w:val="22"/>
          <w:szCs w:val="22"/>
          <w:lang w:val="en-GB"/>
        </w:rPr>
        <w:fldChar w:fldCharType="begin"/>
      </w:r>
      <w:r>
        <w:rPr>
          <w:rFonts w:ascii="Arial" w:hAnsi="Arial" w:cs="Arial"/>
          <w:sz w:val="22"/>
          <w:szCs w:val="22"/>
          <w:lang w:val="en-GB"/>
        </w:rPr>
        <w:instrText>ADDIN CSL_CITATION {"citationItems":[{"id":"ITEM-1","itemData":{"DOI":"10.1603/0022-0493-95.1</w:instrText>
      </w:r>
      <w:r>
        <w:rPr>
          <w:rFonts w:ascii="Arial" w:hAnsi="Arial" w:cs="Arial"/>
          <w:sz w:val="22"/>
          <w:szCs w:val="22"/>
          <w:lang w:val="en-GB"/>
        </w:rPr>
        <w:instrText>.214","ISSN":"00220493","PMID":"11942759","abstract":"Several dried waste materials from different origins were used as a substrate to grow Tenebrio molitor L. Nutrient/amino acid values differed depending on both larval size/weight and substrate. These la</w:instrText>
      </w:r>
      <w:r>
        <w:rPr>
          <w:rFonts w:ascii="Arial" w:hAnsi="Arial" w:cs="Arial"/>
          <w:sz w:val="22"/>
          <w:szCs w:val="22"/>
          <w:lang w:val="en-GB"/>
        </w:rPr>
        <w:instrText>rvae were experimentally used as a broiler feedstuff. Seven-day-old chicks of a commercially available strain with an average weight of 126 g were randomly distributed into nine six-broiler groups. Three levels of Tenebrio molitor larvae (0, 5, and 10% dry</w:instrText>
      </w:r>
      <w:r>
        <w:rPr>
          <w:rFonts w:ascii="Arial" w:hAnsi="Arial" w:cs="Arial"/>
          <w:sz w:val="22"/>
          <w:szCs w:val="22"/>
          <w:lang w:val="en-GB"/>
        </w:rPr>
        <w:instrText xml:space="preserve"> weight) were used in a 19% protein content sorghum-soybean meal basal diet, to evaluate feed intake, weight gain, and feed efficiency. Results after 15 d showed no significant differences among treatments. These data indicate that Tenebrio molitor has the</w:instrText>
      </w:r>
      <w:r>
        <w:rPr>
          <w:rFonts w:ascii="Arial" w:hAnsi="Arial" w:cs="Arial"/>
          <w:sz w:val="22"/>
          <w:szCs w:val="22"/>
          <w:lang w:val="en-GB"/>
        </w:rPr>
        <w:instrText xml:space="preserve"> potential to be used as protein source for raising broilers.","author":[{"dropping-particle":"","family":"Ramos-Elorduy","given":"Julieta","non-dropping-particle":"","parse-names":false,"suffix":""},{"dropping-particle":"","family":"González","given":"Ern</w:instrText>
      </w:r>
      <w:r>
        <w:rPr>
          <w:rFonts w:ascii="Arial" w:hAnsi="Arial" w:cs="Arial"/>
          <w:sz w:val="22"/>
          <w:szCs w:val="22"/>
          <w:lang w:val="en-GB"/>
        </w:rPr>
        <w:instrText>esto Avila","non-dropping-particle":"","parse-names":false,"suffix":""},{"dropping-particle":"","family":"Hernández","given":"Alma Rocha","non-dropping-particle":"","parse-names":false,"suffix":""},{"dropping-particle":"","family":"Pino","given":"José Manu</w:instrText>
      </w:r>
      <w:r>
        <w:rPr>
          <w:rFonts w:ascii="Arial" w:hAnsi="Arial" w:cs="Arial"/>
          <w:sz w:val="22"/>
          <w:szCs w:val="22"/>
          <w:lang w:val="en-GB"/>
        </w:rPr>
        <w:instrText>el","non-dropping-particle":"","parse-names":false,"suffix":""}],"container-title":"Journal of economic entomology","id":"ITEM-1","issue":"1","issued":{"date-parts":[["2002"]]},"page":"214-220","title":"Use of Tenebrio molitor (Coleoptera: Tenebrionidae) t</w:instrText>
      </w:r>
      <w:r>
        <w:rPr>
          <w:rFonts w:ascii="Arial" w:hAnsi="Arial" w:cs="Arial"/>
          <w:sz w:val="22"/>
          <w:szCs w:val="22"/>
          <w:lang w:val="en-GB"/>
        </w:rPr>
        <w:instrText>o recycle organic wastes and as feed for broiler chickens.","type":"article-journal","volume":"95"},"uris":["http://www.mendeley.com/documents/?uuid=ce5613b8-9d3d-4416-aa2a-aaa28372bb20"]}],"mendeley":{"formattedCitation":"[1]","plainTextFormattedCitation"</w:instrText>
      </w:r>
      <w:r>
        <w:rPr>
          <w:rFonts w:ascii="Arial" w:hAnsi="Arial" w:cs="Arial"/>
          <w:sz w:val="22"/>
          <w:szCs w:val="22"/>
          <w:lang w:val="en-GB"/>
        </w:rPr>
        <w:instrText>:"[1]","previouslyFormattedCitation":"[1]"},"properties":{"noteIndex":0},"schema":"https://github.com/citation-style-language/schema/raw/master/csl-citation.json"}</w:instrText>
      </w:r>
      <w:r>
        <w:rPr>
          <w:rFonts w:ascii="Arial" w:hAnsi="Arial" w:cs="Arial"/>
          <w:sz w:val="22"/>
          <w:szCs w:val="22"/>
          <w:lang w:val="en-GB"/>
        </w:rPr>
        <w:fldChar w:fldCharType="separate"/>
      </w:r>
      <w:r>
        <w:rPr>
          <w:rFonts w:ascii="Arial" w:hAnsi="Arial" w:cs="Arial"/>
          <w:sz w:val="22"/>
          <w:szCs w:val="22"/>
          <w:lang w:val="en-GB"/>
        </w:rPr>
        <w:t>[1]</w:t>
      </w:r>
      <w:r>
        <w:rPr>
          <w:rFonts w:ascii="Arial" w:hAnsi="Arial" w:cs="Arial"/>
          <w:sz w:val="22"/>
          <w:szCs w:val="22"/>
          <w:lang w:val="en-GB"/>
        </w:rPr>
        <w:fldChar w:fldCharType="end"/>
      </w:r>
      <w:r>
        <w:rPr>
          <w:rFonts w:ascii="Arial" w:hAnsi="Arial" w:cs="Arial"/>
          <w:sz w:val="22"/>
          <w:szCs w:val="22"/>
          <w:lang w:val="en-GB"/>
        </w:rPr>
        <w:t xml:space="preserve"> making them a very promising and sustainable source of alternative proteins for food a</w:t>
      </w:r>
      <w:r>
        <w:rPr>
          <w:rFonts w:ascii="Arial" w:hAnsi="Arial" w:cs="Arial"/>
          <w:sz w:val="22"/>
          <w:szCs w:val="22"/>
          <w:lang w:val="en-GB"/>
        </w:rPr>
        <w:t>nd other applications. One key parameter for the utilisation of mealworm protein is its ability to form gels. However, when looking into gelation and gel properties it is important, to not only consider the protein itself, but also the influence of other c</w:t>
      </w:r>
      <w:r>
        <w:rPr>
          <w:rFonts w:ascii="Arial" w:hAnsi="Arial" w:cs="Arial"/>
          <w:sz w:val="22"/>
          <w:szCs w:val="22"/>
          <w:lang w:val="en-GB"/>
        </w:rPr>
        <w:t>onstituents such as e.g. (divalent) cations, as these may have a relevant influence on gel structure and properties.</w:t>
      </w:r>
    </w:p>
    <w:p w14:paraId="5AAD1F21" w14:textId="77777777" w:rsidR="006B2A1E" w:rsidRDefault="00864F36">
      <w:pPr>
        <w:spacing w:before="120"/>
        <w:jc w:val="both"/>
        <w:rPr>
          <w:rFonts w:ascii="Arial" w:hAnsi="Arial" w:cs="Arial"/>
          <w:sz w:val="22"/>
          <w:szCs w:val="22"/>
          <w:lang w:val="en-GB"/>
        </w:rPr>
      </w:pPr>
      <w:r>
        <w:rPr>
          <w:rFonts w:ascii="Arial" w:hAnsi="Arial" w:cs="Arial"/>
          <w:sz w:val="22"/>
          <w:szCs w:val="22"/>
          <w:lang w:val="en-GB"/>
        </w:rPr>
        <w:t>Despite the high potential for the utilisation of mealworm protein in various applications, research on its heat-induced gelation propertie</w:t>
      </w:r>
      <w:r>
        <w:rPr>
          <w:rFonts w:ascii="Arial" w:hAnsi="Arial" w:cs="Arial"/>
          <w:sz w:val="22"/>
          <w:szCs w:val="22"/>
          <w:lang w:val="en-GB"/>
        </w:rPr>
        <w:t>s is scarce and so far, there is none that investigates the influence of (divalent) cations. Therefore, the presented study was designed to extent the existing knowledge in this field by investigating heat-induced mealworm protein gels with and without the</w:t>
      </w:r>
      <w:r>
        <w:rPr>
          <w:rFonts w:ascii="Arial" w:hAnsi="Arial" w:cs="Arial"/>
          <w:sz w:val="22"/>
          <w:szCs w:val="22"/>
          <w:lang w:val="en-GB"/>
        </w:rPr>
        <w:t xml:space="preserve"> addition of a divalent salt (ZnSO</w:t>
      </w:r>
      <w:r>
        <w:rPr>
          <w:rFonts w:ascii="Arial" w:hAnsi="Arial" w:cs="Arial"/>
          <w:sz w:val="22"/>
          <w:szCs w:val="22"/>
          <w:vertAlign w:val="subscript"/>
          <w:lang w:val="en-GB"/>
        </w:rPr>
        <w:t>4</w:t>
      </w:r>
      <w:r>
        <w:rPr>
          <w:rFonts w:ascii="Arial" w:hAnsi="Arial" w:cs="Arial"/>
          <w:sz w:val="22"/>
          <w:szCs w:val="22"/>
          <w:lang w:val="en-GB"/>
        </w:rPr>
        <w:t>). Our methodical approach focussed on</w:t>
      </w:r>
    </w:p>
    <w:p w14:paraId="3E902B90" w14:textId="77777777" w:rsidR="006B2A1E" w:rsidRDefault="00864F36">
      <w:pPr>
        <w:pStyle w:val="Listenabsatz"/>
        <w:numPr>
          <w:ilvl w:val="0"/>
          <w:numId w:val="3"/>
        </w:numPr>
        <w:spacing w:before="120"/>
        <w:ind w:left="360"/>
        <w:jc w:val="both"/>
        <w:rPr>
          <w:rFonts w:ascii="Arial" w:hAnsi="Arial" w:cs="Arial"/>
          <w:sz w:val="22"/>
          <w:szCs w:val="22"/>
          <w:lang w:val="en-GB"/>
        </w:rPr>
      </w:pPr>
      <w:r>
        <w:rPr>
          <w:rFonts w:ascii="Arial" w:hAnsi="Arial" w:cs="Arial"/>
          <w:sz w:val="22"/>
          <w:szCs w:val="22"/>
          <w:lang w:val="en-GB"/>
        </w:rPr>
        <w:t>applying rheological time sweeps to describe the gelation kinetics</w:t>
      </w:r>
    </w:p>
    <w:p w14:paraId="3BE40B21" w14:textId="77777777" w:rsidR="006B2A1E" w:rsidRDefault="00864F36">
      <w:pPr>
        <w:pStyle w:val="Listenabsatz"/>
        <w:numPr>
          <w:ilvl w:val="0"/>
          <w:numId w:val="3"/>
        </w:numPr>
        <w:spacing w:before="120"/>
        <w:ind w:left="360"/>
        <w:jc w:val="both"/>
        <w:rPr>
          <w:rFonts w:ascii="Arial" w:hAnsi="Arial" w:cs="Arial"/>
          <w:sz w:val="22"/>
          <w:szCs w:val="22"/>
          <w:lang w:val="en-GB"/>
        </w:rPr>
      </w:pPr>
      <w:r>
        <w:rPr>
          <w:rFonts w:ascii="Arial" w:hAnsi="Arial" w:cs="Arial"/>
          <w:sz w:val="22"/>
          <w:szCs w:val="22"/>
          <w:lang w:val="en-GB"/>
        </w:rPr>
        <w:t>elucidating the involved types of interactions via gel solubility experiments</w:t>
      </w:r>
    </w:p>
    <w:p w14:paraId="368BC655" w14:textId="77777777" w:rsidR="006B2A1E" w:rsidRDefault="00864F36">
      <w:pPr>
        <w:pStyle w:val="Listenabsatz"/>
        <w:numPr>
          <w:ilvl w:val="0"/>
          <w:numId w:val="3"/>
        </w:numPr>
        <w:spacing w:before="120"/>
        <w:ind w:left="360"/>
        <w:jc w:val="both"/>
        <w:rPr>
          <w:rFonts w:ascii="Arial" w:hAnsi="Arial" w:cs="Arial"/>
          <w:sz w:val="22"/>
          <w:szCs w:val="22"/>
          <w:lang w:val="en-GB"/>
        </w:rPr>
      </w:pPr>
      <w:r>
        <w:rPr>
          <w:rFonts w:ascii="Arial" w:hAnsi="Arial" w:cs="Arial"/>
          <w:sz w:val="22"/>
          <w:szCs w:val="22"/>
          <w:lang w:val="en-GB"/>
        </w:rPr>
        <w:t>approaching</w:t>
      </w:r>
      <w:r>
        <w:rPr>
          <w:rFonts w:ascii="Arial" w:hAnsi="Arial" w:cs="Arial"/>
          <w:sz w:val="22"/>
          <w:szCs w:val="22"/>
          <w:lang w:val="en-GB"/>
        </w:rPr>
        <w:t xml:space="preserve"> the microstructure of the gels from a microscopic, as well as rheological perspective</w:t>
      </w:r>
    </w:p>
    <w:p w14:paraId="2B448073" w14:textId="77777777" w:rsidR="006B2A1E" w:rsidRDefault="00864F36">
      <w:pPr>
        <w:pStyle w:val="Listenabsatz"/>
        <w:numPr>
          <w:ilvl w:val="0"/>
          <w:numId w:val="3"/>
        </w:numPr>
        <w:spacing w:before="120"/>
        <w:ind w:left="360"/>
        <w:jc w:val="both"/>
        <w:rPr>
          <w:rFonts w:ascii="Arial" w:hAnsi="Arial" w:cs="Arial"/>
          <w:sz w:val="22"/>
          <w:szCs w:val="22"/>
          <w:lang w:val="en-GB"/>
        </w:rPr>
      </w:pPr>
      <w:r>
        <w:rPr>
          <w:rFonts w:ascii="Arial" w:hAnsi="Arial" w:cs="Arial"/>
          <w:sz w:val="22"/>
          <w:szCs w:val="22"/>
          <w:lang w:val="en-GB"/>
        </w:rPr>
        <w:t>using FT-IR measurements to consider changes in the structure of the protein</w:t>
      </w:r>
    </w:p>
    <w:p w14:paraId="74370592" w14:textId="77777777" w:rsidR="006B2A1E" w:rsidRDefault="00864F36">
      <w:pPr>
        <w:spacing w:before="120"/>
        <w:jc w:val="both"/>
        <w:rPr>
          <w:rFonts w:ascii="Arial" w:hAnsi="Arial" w:cs="Arial"/>
          <w:sz w:val="22"/>
          <w:szCs w:val="22"/>
          <w:lang w:val="en-GB"/>
        </w:rPr>
      </w:pPr>
      <w:r>
        <w:rPr>
          <w:rFonts w:ascii="Arial" w:hAnsi="Arial" w:cs="Arial"/>
          <w:sz w:val="22"/>
          <w:szCs w:val="22"/>
          <w:lang w:val="en-GB"/>
        </w:rPr>
        <w:t>We could show, that all examined samples were able to form heat-induced gels and that the</w:t>
      </w:r>
      <w:r>
        <w:rPr>
          <w:rFonts w:ascii="Arial" w:hAnsi="Arial" w:cs="Arial"/>
          <w:sz w:val="22"/>
          <w:szCs w:val="22"/>
          <w:lang w:val="en-GB"/>
        </w:rPr>
        <w:t xml:space="preserve"> addition of salt influenced the structure of the protein, both before and after heating</w:t>
      </w:r>
      <w:r>
        <w:rPr>
          <w:rFonts w:ascii="Arial" w:hAnsi="Arial" w:cs="Arial"/>
          <w:sz w:val="22"/>
          <w:szCs w:val="22"/>
          <w:lang w:val="en-GB"/>
        </w:rPr>
        <w:t>. Combining gel solubility experiments with the rheological investigation of the gelation kinetics via time sweeps we found hydrophobic interactions and hydrogen bon</w:t>
      </w:r>
      <w:r>
        <w:rPr>
          <w:rFonts w:ascii="Arial" w:hAnsi="Arial" w:cs="Arial"/>
          <w:sz w:val="22"/>
          <w:szCs w:val="22"/>
          <w:lang w:val="en-GB"/>
        </w:rPr>
        <w:t>ds to be dominant in all samples. From concentration dependent rheology the overall network structures of samples without added ZnSO</w:t>
      </w:r>
      <w:r>
        <w:rPr>
          <w:rFonts w:ascii="Arial" w:hAnsi="Arial" w:cs="Arial"/>
          <w:sz w:val="22"/>
          <w:szCs w:val="22"/>
          <w:vertAlign w:val="subscript"/>
          <w:lang w:val="en-GB"/>
        </w:rPr>
        <w:t>4</w:t>
      </w:r>
      <w:r>
        <w:rPr>
          <w:rFonts w:ascii="Arial" w:hAnsi="Arial" w:cs="Arial"/>
          <w:sz w:val="22"/>
          <w:szCs w:val="22"/>
          <w:lang w:val="en-GB"/>
        </w:rPr>
        <w:t xml:space="preserve"> were found to be in the transition regime where both inter- and </w:t>
      </w:r>
      <w:proofErr w:type="spellStart"/>
      <w:r>
        <w:rPr>
          <w:rFonts w:ascii="Arial" w:hAnsi="Arial" w:cs="Arial"/>
          <w:sz w:val="22"/>
          <w:szCs w:val="22"/>
          <w:lang w:val="en-GB"/>
        </w:rPr>
        <w:t>intrafloc</w:t>
      </w:r>
      <w:proofErr w:type="spellEnd"/>
      <w:r>
        <w:rPr>
          <w:rFonts w:ascii="Arial" w:hAnsi="Arial" w:cs="Arial"/>
          <w:sz w:val="22"/>
          <w:szCs w:val="22"/>
          <w:lang w:val="en-GB"/>
        </w:rPr>
        <w:t xml:space="preserve"> links contribute to the gel’s elasticity.</w:t>
      </w:r>
    </w:p>
    <w:p w14:paraId="0B8FEDA1" w14:textId="77777777" w:rsidR="006B2A1E" w:rsidRDefault="00864F36">
      <w:pPr>
        <w:spacing w:before="120"/>
        <w:jc w:val="both"/>
        <w:rPr>
          <w:rFonts w:ascii="Arial" w:hAnsi="Arial" w:cs="Arial"/>
          <w:sz w:val="22"/>
          <w:szCs w:val="22"/>
          <w:lang w:val="en-GB"/>
        </w:rPr>
      </w:pPr>
      <w:r>
        <w:rPr>
          <w:rFonts w:ascii="Arial" w:hAnsi="Arial" w:cs="Arial"/>
          <w:sz w:val="22"/>
          <w:szCs w:val="22"/>
          <w:lang w:val="en-GB"/>
        </w:rPr>
        <w:t>The</w:t>
      </w:r>
      <w:r>
        <w:rPr>
          <w:rFonts w:ascii="Arial" w:hAnsi="Arial" w:cs="Arial"/>
          <w:sz w:val="22"/>
          <w:szCs w:val="22"/>
          <w:lang w:val="en-GB"/>
        </w:rPr>
        <w:t xml:space="preserve"> addition of ZnSO</w:t>
      </w:r>
      <w:r>
        <w:rPr>
          <w:rFonts w:ascii="Arial" w:hAnsi="Arial" w:cs="Arial"/>
          <w:sz w:val="22"/>
          <w:szCs w:val="22"/>
          <w:vertAlign w:val="subscript"/>
          <w:lang w:val="en-GB"/>
        </w:rPr>
        <w:t>4</w:t>
      </w:r>
      <w:r>
        <w:rPr>
          <w:rFonts w:ascii="Arial" w:hAnsi="Arial" w:cs="Arial"/>
          <w:sz w:val="22"/>
          <w:szCs w:val="22"/>
          <w:lang w:val="en-GB"/>
        </w:rPr>
        <w:t xml:space="preserve"> led to additional electrostatic and/or covalent interactions. Moreover, the corresponding gels showed distinctly different rheological properties from the gels without ZnSO</w:t>
      </w:r>
      <w:r>
        <w:rPr>
          <w:rFonts w:ascii="Arial" w:hAnsi="Arial" w:cs="Arial"/>
          <w:sz w:val="22"/>
          <w:szCs w:val="22"/>
          <w:vertAlign w:val="subscript"/>
          <w:lang w:val="en-GB"/>
        </w:rPr>
        <w:t>4</w:t>
      </w:r>
      <w:r>
        <w:rPr>
          <w:rFonts w:ascii="Arial" w:hAnsi="Arial" w:cs="Arial"/>
          <w:sz w:val="22"/>
          <w:szCs w:val="22"/>
          <w:lang w:val="en-GB"/>
        </w:rPr>
        <w:t xml:space="preserve"> (</w:t>
      </w:r>
      <w:proofErr w:type="gramStart"/>
      <w:r>
        <w:rPr>
          <w:rFonts w:ascii="Arial" w:hAnsi="Arial" w:cs="Arial"/>
          <w:sz w:val="22"/>
          <w:szCs w:val="22"/>
          <w:lang w:val="en-GB"/>
        </w:rPr>
        <w:t>i.e.</w:t>
      </w:r>
      <w:proofErr w:type="gramEnd"/>
      <w:r>
        <w:rPr>
          <w:rFonts w:ascii="Arial" w:hAnsi="Arial" w:cs="Arial"/>
          <w:sz w:val="22"/>
          <w:szCs w:val="22"/>
          <w:lang w:val="en-GB"/>
        </w:rPr>
        <w:t xml:space="preserve"> higher storage modulus, shorter linear viscoelastic regim</w:t>
      </w:r>
      <w:r>
        <w:rPr>
          <w:rFonts w:ascii="Arial" w:hAnsi="Arial" w:cs="Arial"/>
          <w:sz w:val="22"/>
          <w:szCs w:val="22"/>
          <w:lang w:val="en-GB"/>
        </w:rPr>
        <w:t xml:space="preserve">e, an increasing contribution of </w:t>
      </w:r>
      <w:proofErr w:type="spellStart"/>
      <w:r>
        <w:rPr>
          <w:rFonts w:ascii="Arial" w:hAnsi="Arial" w:cs="Arial"/>
          <w:sz w:val="22"/>
          <w:szCs w:val="22"/>
          <w:lang w:val="en-GB"/>
        </w:rPr>
        <w:t>intrafloc</w:t>
      </w:r>
      <w:proofErr w:type="spellEnd"/>
      <w:r>
        <w:rPr>
          <w:rFonts w:ascii="Arial" w:hAnsi="Arial" w:cs="Arial"/>
          <w:sz w:val="22"/>
          <w:szCs w:val="22"/>
          <w:lang w:val="en-GB"/>
        </w:rPr>
        <w:t xml:space="preserve"> links and more pronounced intracycle strain stiffening at deformations outside the linear viscoelastic regime). This could be related to a less homogenous and more particulate gel structure as confirmed via scan e</w:t>
      </w:r>
      <w:r>
        <w:rPr>
          <w:rFonts w:ascii="Arial" w:hAnsi="Arial" w:cs="Arial"/>
          <w:sz w:val="22"/>
          <w:szCs w:val="22"/>
          <w:lang w:val="en-GB"/>
        </w:rPr>
        <w:t>lectron microscopy.</w:t>
      </w:r>
    </w:p>
    <w:p w14:paraId="2B9BFF2C" w14:textId="77777777" w:rsidR="006B2A1E" w:rsidRDefault="00864F36">
      <w:pPr>
        <w:spacing w:before="120"/>
        <w:jc w:val="both"/>
        <w:rPr>
          <w:rFonts w:ascii="Arial" w:hAnsi="Arial" w:cs="Arial"/>
          <w:sz w:val="22"/>
          <w:szCs w:val="22"/>
          <w:lang w:val="en-GB"/>
        </w:rPr>
      </w:pPr>
      <w:r>
        <w:rPr>
          <w:rFonts w:ascii="Arial" w:hAnsi="Arial" w:cs="Arial"/>
          <w:sz w:val="22"/>
          <w:szCs w:val="22"/>
          <w:lang w:val="en-GB"/>
        </w:rPr>
        <w:t>The results from our study contribute to understanding the underlying mechanisms in heat-induced gelation of mealworm protein. They can act as basis for the development of strategies for the customisation of gel properties and gel compo</w:t>
      </w:r>
      <w:r>
        <w:rPr>
          <w:rFonts w:ascii="Arial" w:hAnsi="Arial" w:cs="Arial"/>
          <w:sz w:val="22"/>
          <w:szCs w:val="22"/>
          <w:lang w:val="en-GB"/>
        </w:rPr>
        <w:t>sition, that may advance the potential for future utilisation of mealworm protein as a sustainable protein source in food and other applications.</w:t>
      </w:r>
    </w:p>
    <w:p w14:paraId="1A9911FB" w14:textId="77777777" w:rsidR="006B2A1E" w:rsidRDefault="006B2A1E">
      <w:pPr>
        <w:jc w:val="both"/>
        <w:rPr>
          <w:rFonts w:ascii="Arial" w:hAnsi="Arial" w:cs="Arial"/>
          <w:sz w:val="22"/>
          <w:szCs w:val="22"/>
          <w:lang w:val="en-GB"/>
        </w:rPr>
      </w:pPr>
    </w:p>
    <w:p w14:paraId="7D53793C" w14:textId="77777777" w:rsidR="006B2A1E" w:rsidRDefault="00864F36">
      <w:pPr>
        <w:pStyle w:val="Textkrper"/>
        <w:jc w:val="both"/>
        <w:rPr>
          <w:i/>
          <w:color w:val="000000"/>
          <w:sz w:val="20"/>
          <w:szCs w:val="20"/>
          <w:lang w:val="en-GB"/>
        </w:rPr>
      </w:pPr>
      <w:bookmarkStart w:id="0" w:name="_Hlk115417009"/>
      <w:r>
        <w:rPr>
          <w:i/>
          <w:color w:val="000000" w:themeColor="text1"/>
          <w:sz w:val="20"/>
          <w:szCs w:val="20"/>
          <w:lang w:val="en-GB"/>
        </w:rPr>
        <w:t xml:space="preserve">This research was funded by </w:t>
      </w:r>
      <w:proofErr w:type="spellStart"/>
      <w:r>
        <w:rPr>
          <w:i/>
          <w:color w:val="000000" w:themeColor="text1"/>
          <w:sz w:val="20"/>
          <w:szCs w:val="20"/>
          <w:lang w:val="en-GB"/>
        </w:rPr>
        <w:t>Technische</w:t>
      </w:r>
      <w:proofErr w:type="spellEnd"/>
      <w:r>
        <w:rPr>
          <w:i/>
          <w:color w:val="000000" w:themeColor="text1"/>
          <w:sz w:val="20"/>
          <w:szCs w:val="20"/>
          <w:lang w:val="en-GB"/>
        </w:rPr>
        <w:t xml:space="preserve"> Universität Berlin, TU-internal research funding: Strategic Call “Pro </w:t>
      </w:r>
      <w:proofErr w:type="spellStart"/>
      <w:r>
        <w:rPr>
          <w:i/>
          <w:color w:val="000000" w:themeColor="text1"/>
          <w:sz w:val="20"/>
          <w:szCs w:val="20"/>
          <w:lang w:val="en-GB"/>
        </w:rPr>
        <w:t>Nachhaltigkeit</w:t>
      </w:r>
      <w:proofErr w:type="spellEnd"/>
      <w:r>
        <w:rPr>
          <w:i/>
          <w:color w:val="000000" w:themeColor="text1"/>
          <w:sz w:val="20"/>
          <w:szCs w:val="20"/>
          <w:lang w:val="en-GB"/>
        </w:rPr>
        <w:t>”.</w:t>
      </w:r>
      <w:bookmarkEnd w:id="0"/>
    </w:p>
    <w:p w14:paraId="065EF5B3" w14:textId="77777777" w:rsidR="006B2A1E" w:rsidRDefault="006B2A1E">
      <w:pPr>
        <w:pStyle w:val="Textkrper"/>
        <w:jc w:val="both"/>
        <w:rPr>
          <w:i/>
          <w:color w:val="000000"/>
          <w:sz w:val="22"/>
          <w:szCs w:val="22"/>
          <w:lang w:val="en-GB"/>
        </w:rPr>
      </w:pPr>
    </w:p>
    <w:p w14:paraId="04049418" w14:textId="77777777" w:rsidR="006B2A1E" w:rsidRDefault="00864F36">
      <w:pPr>
        <w:widowControl w:val="0"/>
        <w:ind w:left="640" w:hanging="640"/>
        <w:rPr>
          <w:rFonts w:ascii="Arial" w:hAnsi="Arial" w:cs="Arial"/>
          <w:lang w:val="en-GB"/>
        </w:rPr>
      </w:pPr>
      <w:r>
        <w:rPr>
          <w:rFonts w:ascii="Arial" w:hAnsi="Arial" w:cs="Arial"/>
          <w:lang w:val="en-GB"/>
        </w:rPr>
        <w:fldChar w:fldCharType="begin"/>
      </w:r>
      <w:r>
        <w:rPr>
          <w:rFonts w:ascii="Arial" w:hAnsi="Arial" w:cs="Arial"/>
          <w:lang w:val="en-GB"/>
        </w:rPr>
        <w:instrText xml:space="preserve">ADDIN Mendeley Bibliography CSL_BIBLIOGRAPHY </w:instrText>
      </w:r>
      <w:r>
        <w:rPr>
          <w:rFonts w:ascii="Arial" w:hAnsi="Arial" w:cs="Arial"/>
          <w:lang w:val="en-GB"/>
        </w:rPr>
        <w:fldChar w:fldCharType="separate"/>
      </w:r>
      <w:r>
        <w:rPr>
          <w:rFonts w:ascii="Arial" w:hAnsi="Arial" w:cs="Arial"/>
        </w:rPr>
        <w:t>[1]</w:t>
      </w:r>
      <w:r>
        <w:rPr>
          <w:rFonts w:ascii="Arial" w:hAnsi="Arial" w:cs="Arial"/>
        </w:rPr>
        <w:tab/>
        <w:t xml:space="preserve">Ramos-Elorduy J, et al. (2002). J. Econ. Entomol. 95 (1): 214–20. </w:t>
      </w:r>
      <w:r>
        <w:rPr>
          <w:rFonts w:ascii="Arial" w:hAnsi="Arial" w:cs="Arial"/>
          <w:lang w:val="en-GB"/>
        </w:rPr>
        <w:fldChar w:fldCharType="end"/>
      </w:r>
    </w:p>
    <w:sectPr w:rsidR="006B2A1E">
      <w:pgSz w:w="11906" w:h="16838"/>
      <w:pgMar w:top="1417" w:right="1417" w:bottom="1417" w:left="1417"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D9996" w14:textId="77777777" w:rsidR="00864F36" w:rsidRDefault="00864F36">
      <w:r>
        <w:separator/>
      </w:r>
    </w:p>
  </w:endnote>
  <w:endnote w:type="continuationSeparator" w:id="0">
    <w:p w14:paraId="2D23C694" w14:textId="77777777" w:rsidR="00864F36" w:rsidRDefault="0086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B27B" w14:textId="77777777" w:rsidR="00864F36" w:rsidRDefault="00864F36">
      <w:r>
        <w:separator/>
      </w:r>
    </w:p>
  </w:footnote>
  <w:footnote w:type="continuationSeparator" w:id="0">
    <w:p w14:paraId="1E18AE19" w14:textId="77777777" w:rsidR="00864F36" w:rsidRDefault="00864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67E"/>
    <w:multiLevelType w:val="hybridMultilevel"/>
    <w:tmpl w:val="25F80C82"/>
    <w:lvl w:ilvl="0" w:tplc="59DA7098">
      <w:start w:val="15"/>
      <w:numFmt w:val="lowerLetter"/>
      <w:lvlText w:val="%1)"/>
      <w:lvlJc w:val="left"/>
      <w:pPr>
        <w:tabs>
          <w:tab w:val="num" w:pos="360"/>
        </w:tabs>
        <w:ind w:left="360" w:hanging="360"/>
      </w:pPr>
      <w:rPr>
        <w:rFonts w:ascii="Times New Roman" w:hAnsi="Times New Roman" w:cs="Times New Roman" w:hint="default"/>
      </w:rPr>
    </w:lvl>
    <w:lvl w:ilvl="1" w:tplc="F47489C4">
      <w:start w:val="1"/>
      <w:numFmt w:val="bullet"/>
      <w:lvlText w:val="o"/>
      <w:lvlJc w:val="left"/>
      <w:pPr>
        <w:ind w:left="1440" w:hanging="360"/>
      </w:pPr>
      <w:rPr>
        <w:rFonts w:ascii="Courier New" w:eastAsia="Courier New" w:hAnsi="Courier New" w:cs="Courier New" w:hint="default"/>
      </w:rPr>
    </w:lvl>
    <w:lvl w:ilvl="2" w:tplc="B4F00FB8">
      <w:start w:val="1"/>
      <w:numFmt w:val="bullet"/>
      <w:lvlText w:val="§"/>
      <w:lvlJc w:val="left"/>
      <w:pPr>
        <w:ind w:left="2160" w:hanging="360"/>
      </w:pPr>
      <w:rPr>
        <w:rFonts w:ascii="Wingdings" w:eastAsia="Wingdings" w:hAnsi="Wingdings" w:cs="Wingdings" w:hint="default"/>
      </w:rPr>
    </w:lvl>
    <w:lvl w:ilvl="3" w:tplc="6214FD38">
      <w:start w:val="1"/>
      <w:numFmt w:val="bullet"/>
      <w:lvlText w:val="·"/>
      <w:lvlJc w:val="left"/>
      <w:pPr>
        <w:ind w:left="2880" w:hanging="360"/>
      </w:pPr>
      <w:rPr>
        <w:rFonts w:ascii="Symbol" w:eastAsia="Symbol" w:hAnsi="Symbol" w:cs="Symbol" w:hint="default"/>
      </w:rPr>
    </w:lvl>
    <w:lvl w:ilvl="4" w:tplc="0990176A">
      <w:start w:val="1"/>
      <w:numFmt w:val="bullet"/>
      <w:lvlText w:val="o"/>
      <w:lvlJc w:val="left"/>
      <w:pPr>
        <w:ind w:left="3600" w:hanging="360"/>
      </w:pPr>
      <w:rPr>
        <w:rFonts w:ascii="Courier New" w:eastAsia="Courier New" w:hAnsi="Courier New" w:cs="Courier New" w:hint="default"/>
      </w:rPr>
    </w:lvl>
    <w:lvl w:ilvl="5" w:tplc="AECC405A">
      <w:start w:val="1"/>
      <w:numFmt w:val="bullet"/>
      <w:lvlText w:val="§"/>
      <w:lvlJc w:val="left"/>
      <w:pPr>
        <w:ind w:left="4320" w:hanging="360"/>
      </w:pPr>
      <w:rPr>
        <w:rFonts w:ascii="Wingdings" w:eastAsia="Wingdings" w:hAnsi="Wingdings" w:cs="Wingdings" w:hint="default"/>
      </w:rPr>
    </w:lvl>
    <w:lvl w:ilvl="6" w:tplc="218C7D58">
      <w:start w:val="1"/>
      <w:numFmt w:val="bullet"/>
      <w:lvlText w:val="·"/>
      <w:lvlJc w:val="left"/>
      <w:pPr>
        <w:ind w:left="5040" w:hanging="360"/>
      </w:pPr>
      <w:rPr>
        <w:rFonts w:ascii="Symbol" w:eastAsia="Symbol" w:hAnsi="Symbol" w:cs="Symbol" w:hint="default"/>
      </w:rPr>
    </w:lvl>
    <w:lvl w:ilvl="7" w:tplc="0FFA5E64">
      <w:start w:val="1"/>
      <w:numFmt w:val="bullet"/>
      <w:lvlText w:val="o"/>
      <w:lvlJc w:val="left"/>
      <w:pPr>
        <w:ind w:left="5760" w:hanging="360"/>
      </w:pPr>
      <w:rPr>
        <w:rFonts w:ascii="Courier New" w:eastAsia="Courier New" w:hAnsi="Courier New" w:cs="Courier New" w:hint="default"/>
      </w:rPr>
    </w:lvl>
    <w:lvl w:ilvl="8" w:tplc="92FEC27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54F04780"/>
    <w:multiLevelType w:val="hybridMultilevel"/>
    <w:tmpl w:val="65E6BC1C"/>
    <w:lvl w:ilvl="0" w:tplc="FC60B592">
      <w:start w:val="20"/>
      <w:numFmt w:val="decimal"/>
      <w:lvlText w:val="%1."/>
      <w:lvlJc w:val="left"/>
      <w:pPr>
        <w:tabs>
          <w:tab w:val="num" w:pos="1440"/>
        </w:tabs>
        <w:ind w:left="1440" w:hanging="1440"/>
      </w:pPr>
      <w:rPr>
        <w:rFonts w:ascii="Times New Roman" w:hAnsi="Times New Roman" w:cs="Times New Roman" w:hint="default"/>
      </w:rPr>
    </w:lvl>
    <w:lvl w:ilvl="1" w:tplc="26B8ED2E">
      <w:start w:val="1"/>
      <w:numFmt w:val="bullet"/>
      <w:lvlText w:val="o"/>
      <w:lvlJc w:val="left"/>
      <w:pPr>
        <w:ind w:left="1440" w:hanging="360"/>
      </w:pPr>
      <w:rPr>
        <w:rFonts w:ascii="Courier New" w:eastAsia="Courier New" w:hAnsi="Courier New" w:cs="Courier New" w:hint="default"/>
      </w:rPr>
    </w:lvl>
    <w:lvl w:ilvl="2" w:tplc="891EDC62">
      <w:start w:val="1"/>
      <w:numFmt w:val="bullet"/>
      <w:lvlText w:val="§"/>
      <w:lvlJc w:val="left"/>
      <w:pPr>
        <w:ind w:left="2160" w:hanging="360"/>
      </w:pPr>
      <w:rPr>
        <w:rFonts w:ascii="Wingdings" w:eastAsia="Wingdings" w:hAnsi="Wingdings" w:cs="Wingdings" w:hint="default"/>
      </w:rPr>
    </w:lvl>
    <w:lvl w:ilvl="3" w:tplc="4552A820">
      <w:start w:val="1"/>
      <w:numFmt w:val="bullet"/>
      <w:lvlText w:val="·"/>
      <w:lvlJc w:val="left"/>
      <w:pPr>
        <w:ind w:left="2880" w:hanging="360"/>
      </w:pPr>
      <w:rPr>
        <w:rFonts w:ascii="Symbol" w:eastAsia="Symbol" w:hAnsi="Symbol" w:cs="Symbol" w:hint="default"/>
      </w:rPr>
    </w:lvl>
    <w:lvl w:ilvl="4" w:tplc="79C4AF4E">
      <w:start w:val="1"/>
      <w:numFmt w:val="bullet"/>
      <w:lvlText w:val="o"/>
      <w:lvlJc w:val="left"/>
      <w:pPr>
        <w:ind w:left="3600" w:hanging="360"/>
      </w:pPr>
      <w:rPr>
        <w:rFonts w:ascii="Courier New" w:eastAsia="Courier New" w:hAnsi="Courier New" w:cs="Courier New" w:hint="default"/>
      </w:rPr>
    </w:lvl>
    <w:lvl w:ilvl="5" w:tplc="E558ED1C">
      <w:start w:val="1"/>
      <w:numFmt w:val="bullet"/>
      <w:lvlText w:val="§"/>
      <w:lvlJc w:val="left"/>
      <w:pPr>
        <w:ind w:left="4320" w:hanging="360"/>
      </w:pPr>
      <w:rPr>
        <w:rFonts w:ascii="Wingdings" w:eastAsia="Wingdings" w:hAnsi="Wingdings" w:cs="Wingdings" w:hint="default"/>
      </w:rPr>
    </w:lvl>
    <w:lvl w:ilvl="6" w:tplc="D60AD8FA">
      <w:start w:val="1"/>
      <w:numFmt w:val="bullet"/>
      <w:lvlText w:val="·"/>
      <w:lvlJc w:val="left"/>
      <w:pPr>
        <w:ind w:left="5040" w:hanging="360"/>
      </w:pPr>
      <w:rPr>
        <w:rFonts w:ascii="Symbol" w:eastAsia="Symbol" w:hAnsi="Symbol" w:cs="Symbol" w:hint="default"/>
      </w:rPr>
    </w:lvl>
    <w:lvl w:ilvl="7" w:tplc="ADF65492">
      <w:start w:val="1"/>
      <w:numFmt w:val="bullet"/>
      <w:lvlText w:val="o"/>
      <w:lvlJc w:val="left"/>
      <w:pPr>
        <w:ind w:left="5760" w:hanging="360"/>
      </w:pPr>
      <w:rPr>
        <w:rFonts w:ascii="Courier New" w:eastAsia="Courier New" w:hAnsi="Courier New" w:cs="Courier New" w:hint="default"/>
      </w:rPr>
    </w:lvl>
    <w:lvl w:ilvl="8" w:tplc="EE8E818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6DA05118"/>
    <w:multiLevelType w:val="hybridMultilevel"/>
    <w:tmpl w:val="89761914"/>
    <w:lvl w:ilvl="0" w:tplc="786E9E28">
      <w:start w:val="1"/>
      <w:numFmt w:val="bullet"/>
      <w:lvlText w:val=""/>
      <w:lvlJc w:val="left"/>
      <w:pPr>
        <w:ind w:left="720" w:hanging="360"/>
      </w:pPr>
      <w:rPr>
        <w:rFonts w:ascii="Symbol" w:hAnsi="Symbol" w:hint="default"/>
      </w:rPr>
    </w:lvl>
    <w:lvl w:ilvl="1" w:tplc="E78C9A14">
      <w:start w:val="1"/>
      <w:numFmt w:val="bullet"/>
      <w:lvlText w:val="o"/>
      <w:lvlJc w:val="left"/>
      <w:pPr>
        <w:ind w:left="1440" w:hanging="360"/>
      </w:pPr>
      <w:rPr>
        <w:rFonts w:ascii="Courier New" w:hAnsi="Courier New" w:cs="Courier New" w:hint="default"/>
      </w:rPr>
    </w:lvl>
    <w:lvl w:ilvl="2" w:tplc="68B8B94A">
      <w:start w:val="1"/>
      <w:numFmt w:val="bullet"/>
      <w:lvlText w:val=""/>
      <w:lvlJc w:val="left"/>
      <w:pPr>
        <w:ind w:left="2160" w:hanging="360"/>
      </w:pPr>
      <w:rPr>
        <w:rFonts w:ascii="Wingdings" w:hAnsi="Wingdings" w:hint="default"/>
      </w:rPr>
    </w:lvl>
    <w:lvl w:ilvl="3" w:tplc="BBDC61C4">
      <w:start w:val="1"/>
      <w:numFmt w:val="bullet"/>
      <w:lvlText w:val=""/>
      <w:lvlJc w:val="left"/>
      <w:pPr>
        <w:ind w:left="2880" w:hanging="360"/>
      </w:pPr>
      <w:rPr>
        <w:rFonts w:ascii="Symbol" w:hAnsi="Symbol" w:hint="default"/>
      </w:rPr>
    </w:lvl>
    <w:lvl w:ilvl="4" w:tplc="03A42184">
      <w:start w:val="1"/>
      <w:numFmt w:val="bullet"/>
      <w:lvlText w:val="o"/>
      <w:lvlJc w:val="left"/>
      <w:pPr>
        <w:ind w:left="3600" w:hanging="360"/>
      </w:pPr>
      <w:rPr>
        <w:rFonts w:ascii="Courier New" w:hAnsi="Courier New" w:cs="Courier New" w:hint="default"/>
      </w:rPr>
    </w:lvl>
    <w:lvl w:ilvl="5" w:tplc="474CB078">
      <w:start w:val="1"/>
      <w:numFmt w:val="bullet"/>
      <w:lvlText w:val=""/>
      <w:lvlJc w:val="left"/>
      <w:pPr>
        <w:ind w:left="4320" w:hanging="360"/>
      </w:pPr>
      <w:rPr>
        <w:rFonts w:ascii="Wingdings" w:hAnsi="Wingdings" w:hint="default"/>
      </w:rPr>
    </w:lvl>
    <w:lvl w:ilvl="6" w:tplc="825ED002">
      <w:start w:val="1"/>
      <w:numFmt w:val="bullet"/>
      <w:lvlText w:val=""/>
      <w:lvlJc w:val="left"/>
      <w:pPr>
        <w:ind w:left="5040" w:hanging="360"/>
      </w:pPr>
      <w:rPr>
        <w:rFonts w:ascii="Symbol" w:hAnsi="Symbol" w:hint="default"/>
      </w:rPr>
    </w:lvl>
    <w:lvl w:ilvl="7" w:tplc="8E887704">
      <w:start w:val="1"/>
      <w:numFmt w:val="bullet"/>
      <w:lvlText w:val="o"/>
      <w:lvlJc w:val="left"/>
      <w:pPr>
        <w:ind w:left="5760" w:hanging="360"/>
      </w:pPr>
      <w:rPr>
        <w:rFonts w:ascii="Courier New" w:hAnsi="Courier New" w:cs="Courier New" w:hint="default"/>
      </w:rPr>
    </w:lvl>
    <w:lvl w:ilvl="8" w:tplc="77D24A6C">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A1E"/>
    <w:rsid w:val="00517DCD"/>
    <w:rsid w:val="006B2A1E"/>
    <w:rsid w:val="00864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E1CCD0-E93A-4325-B994-AB0771DE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SimSun"/>
      <w:lang w:val="nb-NO" w:eastAsia="zh-CN"/>
    </w:rPr>
  </w:style>
  <w:style w:type="paragraph" w:styleId="berschrift1">
    <w:name w:val="heading 1"/>
    <w:basedOn w:val="Standard"/>
    <w:next w:val="Standard"/>
    <w:link w:val="berschrift1Zchn"/>
    <w:uiPriority w:val="9"/>
    <w:qFormat/>
    <w:pPr>
      <w:keepNext/>
      <w:keepLines/>
      <w:spacing w:before="320"/>
      <w:outlineLvl w:val="0"/>
    </w:pPr>
    <w:rPr>
      <w:rFonts w:asciiTheme="majorHAnsi" w:eastAsiaTheme="majorEastAsia" w:hAnsiTheme="majorHAnsi" w:cstheme="majorBidi"/>
      <w:color w:val="2F5496" w:themeColor="accent1" w:themeShade="BF"/>
      <w:sz w:val="30"/>
      <w:szCs w:val="30"/>
      <w:lang w:val="en-US"/>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link w:val="berschrift3Zchn"/>
    <w:uiPriority w:val="9"/>
    <w:qFormat/>
    <w:pPr>
      <w:spacing w:before="100" w:beforeAutospacing="1" w:after="100" w:afterAutospacing="1"/>
      <w:outlineLvl w:val="2"/>
    </w:pPr>
    <w:rPr>
      <w:rFonts w:eastAsia="Times New Roman"/>
      <w:b/>
      <w:bCs/>
      <w:sz w:val="27"/>
      <w:szCs w:val="27"/>
      <w:lang w:val="de-DE" w:eastAsia="de-DE"/>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Textkrper">
    <w:name w:val="Body Text"/>
    <w:basedOn w:val="Standard"/>
    <w:rPr>
      <w:rFonts w:ascii="Arial" w:hAnsi="Arial" w:cs="Arial"/>
      <w:sz w:val="24"/>
      <w:szCs w:val="24"/>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0"/>
      <w:szCs w:val="30"/>
      <w:lang w:val="en-US" w:eastAsia="zh-CN"/>
    </w:rPr>
  </w:style>
  <w:style w:type="character" w:customStyle="1" w:styleId="berschrift3Zchn">
    <w:name w:val="Überschrift 3 Zchn"/>
    <w:basedOn w:val="Absatz-Standardschriftart"/>
    <w:link w:val="berschrift3"/>
    <w:uiPriority w:val="9"/>
    <w:rPr>
      <w:b/>
      <w:bCs/>
      <w:sz w:val="27"/>
      <w:szCs w:val="27"/>
    </w:rPr>
  </w:style>
  <w:style w:type="paragraph" w:styleId="StandardWeb">
    <w:name w:val="Normal (Web)"/>
    <w:basedOn w:val="Standard"/>
    <w:uiPriority w:val="99"/>
    <w:unhideWhenUsed/>
    <w:pPr>
      <w:spacing w:before="100" w:beforeAutospacing="1" w:after="100" w:afterAutospacing="1"/>
    </w:pPr>
    <w:rPr>
      <w:rFonts w:eastAsia="Times New Roman"/>
      <w:sz w:val="24"/>
      <w:szCs w:val="24"/>
      <w:lang w:val="de-DE" w:eastAsia="de-DE"/>
    </w:rPr>
  </w:style>
  <w:style w:type="character" w:styleId="Fett">
    <w:name w:val="Strong"/>
    <w:basedOn w:val="Absatz-Standardschriftart"/>
    <w:uiPriority w:val="22"/>
    <w:qFormat/>
    <w:rPr>
      <w:b/>
      <w:bCs/>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style>
  <w:style w:type="character" w:customStyle="1" w:styleId="KommentartextZchn">
    <w:name w:val="Kommentartext Zchn"/>
    <w:basedOn w:val="Absatz-Standardschriftart"/>
    <w:link w:val="Kommentartext"/>
    <w:rPr>
      <w:rFonts w:eastAsia="SimSun"/>
      <w:lang w:val="nb-NO" w:eastAsia="zh-CN"/>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eastAsia="SimSun"/>
      <w:b/>
      <w:bCs/>
      <w:lang w:val="nb-NO" w:eastAsia="zh-CN"/>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5D14B808-1252-4890-B668-AE629639BBEE}"/>
</file>

<file path=docProps/app.xml><?xml version="1.0" encoding="utf-8"?>
<Properties xmlns="http://schemas.openxmlformats.org/officeDocument/2006/extended-properties" xmlns:vt="http://schemas.openxmlformats.org/officeDocument/2006/docPropsVTypes">
  <Template>Normal</Template>
  <TotalTime>0</TotalTime>
  <Pages>1</Pages>
  <Words>770</Words>
  <Characters>4852</Characters>
  <Application>Microsoft Office Word</Application>
  <DocSecurity>0</DocSecurity>
  <Lines>40</Lines>
  <Paragraphs>11</Paragraphs>
  <ScaleCrop>false</ScaleCrop>
  <Company>NTNU</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your presentation</dc:title>
  <dc:subject/>
  <dc:creator>kdraget</dc:creator>
  <cp:keywords/>
  <dc:description/>
  <cp:lastModifiedBy>Martina Klost</cp:lastModifiedBy>
  <cp:revision>9</cp:revision>
  <dcterms:created xsi:type="dcterms:W3CDTF">2022-12-21T08:34:00Z</dcterms:created>
  <dcterms:modified xsi:type="dcterms:W3CDTF">2022-12-23T14:24:00Z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http://www.zotero.org/styles/advances-in-colloid-and-interface-science</vt:lpwstr>
  </property>
  <property fmtid="{D5CDD505-2E9C-101B-9397-08002B2CF9AE}" pid="3" name="Mendeley Recent Style Name 0_1">
    <vt:lpwstr>Advances in Colloid and Interface Science</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http://www.zotero.org/styles/food-hydrocolloids</vt:lpwstr>
  </property>
  <property fmtid="{D5CDD505-2E9C-101B-9397-08002B2CF9AE}" pid="13" name="Mendeley Recent Style Name 5_1">
    <vt:lpwstr>Food Hydrocolloids</vt:lpwstr>
  </property>
  <property fmtid="{D5CDD505-2E9C-101B-9397-08002B2CF9AE}" pid="14" name="Mendeley Recent Style Id 6_1">
    <vt:lpwstr>http://www.zotero.org/styles/food-structure</vt:lpwstr>
  </property>
  <property fmtid="{D5CDD505-2E9C-101B-9397-08002B2CF9AE}" pid="15" name="Mendeley Recent Style Name 6_1">
    <vt:lpwstr>Food Structure</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1bfc50ea-2207-3b42-a503-fb5b9f261fd6</vt:lpwstr>
  </property>
  <property fmtid="{D5CDD505-2E9C-101B-9397-08002B2CF9AE}" pid="24" name="Mendeley Citation Style_1">
    <vt:lpwstr>http://www.zotero.org/styles/advances-in-colloid-and-interface-science</vt:lpwstr>
  </property>
</Properties>
</file>