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724F" w14:textId="77777777" w:rsidR="000553DA" w:rsidRDefault="000553DA" w:rsidP="000553DA">
      <w:pPr>
        <w:jc w:val="both"/>
        <w:rPr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Methyl esterification patterns of commercial and chemically </w:t>
      </w:r>
      <w:proofErr w:type="gramStart"/>
      <w:r>
        <w:rPr>
          <w:rFonts w:ascii="Arial" w:hAnsi="Arial" w:cs="Arial"/>
          <w:b/>
          <w:bCs/>
          <w:sz w:val="32"/>
          <w:szCs w:val="32"/>
          <w:lang w:val="en-GB"/>
        </w:rPr>
        <w:t>modified  pectins</w:t>
      </w:r>
      <w:proofErr w:type="gram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</w:p>
    <w:p w14:paraId="4DAA0C3A" w14:textId="77777777" w:rsidR="000553DA" w:rsidRDefault="000553DA" w:rsidP="000553DA">
      <w:pPr>
        <w:jc w:val="both"/>
        <w:rPr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 </w:t>
      </w:r>
    </w:p>
    <w:p w14:paraId="0FA3EA82" w14:textId="77777777" w:rsidR="000553DA" w:rsidRDefault="000553DA" w:rsidP="000553DA">
      <w:pPr>
        <w:jc w:val="both"/>
      </w:pPr>
      <w:r>
        <w:rPr>
          <w:sz w:val="24"/>
          <w:szCs w:val="24"/>
        </w:rPr>
        <w:t>Éva Jermendi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Martin Beukema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Paul de Vos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Henk Schols</w:t>
      </w:r>
      <w:r>
        <w:rPr>
          <w:sz w:val="24"/>
          <w:szCs w:val="24"/>
          <w:vertAlign w:val="superscript"/>
        </w:rPr>
        <w:t>1</w:t>
      </w:r>
    </w:p>
    <w:p w14:paraId="1E68441C" w14:textId="77777777" w:rsidR="000553DA" w:rsidRDefault="000553DA" w:rsidP="000553DA">
      <w:pPr>
        <w:jc w:val="both"/>
      </w:pPr>
      <w:r>
        <w:rPr>
          <w:sz w:val="24"/>
          <w:szCs w:val="24"/>
        </w:rPr>
        <w:t> </w:t>
      </w:r>
    </w:p>
    <w:p w14:paraId="2109B992" w14:textId="77777777" w:rsidR="000553DA" w:rsidRDefault="000553DA" w:rsidP="000553DA">
      <w:pPr>
        <w:jc w:val="both"/>
        <w:rPr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>
        <w:rPr>
          <w:i/>
          <w:iCs/>
          <w:sz w:val="24"/>
          <w:szCs w:val="24"/>
          <w:lang w:val="en-GB"/>
        </w:rPr>
        <w:t>Wageningen University, Laboratory of Food Chemistry, P.O. Box 17, 6700 AA Wageningen</w:t>
      </w:r>
    </w:p>
    <w:p w14:paraId="0D20CFE3" w14:textId="77777777" w:rsidR="000553DA" w:rsidRDefault="000553DA" w:rsidP="000553DA">
      <w:pPr>
        <w:rPr>
          <w:lang w:val="en-GB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University Medical Center Groningen, Division Medical Biology, </w:t>
      </w:r>
      <w:proofErr w:type="spellStart"/>
      <w:r>
        <w:rPr>
          <w:i/>
          <w:iCs/>
          <w:sz w:val="24"/>
          <w:szCs w:val="24"/>
          <w:lang w:val="en-US"/>
        </w:rPr>
        <w:t>Hanzeplein</w:t>
      </w:r>
      <w:proofErr w:type="spellEnd"/>
      <w:r>
        <w:rPr>
          <w:i/>
          <w:iCs/>
          <w:sz w:val="24"/>
          <w:szCs w:val="24"/>
          <w:lang w:val="en-US"/>
        </w:rPr>
        <w:t xml:space="preserve"> 1, 9713 GZ Groningen</w:t>
      </w:r>
    </w:p>
    <w:p w14:paraId="3ED3F3A2" w14:textId="77777777" w:rsidR="000553DA" w:rsidRDefault="000553DA" w:rsidP="000553DA">
      <w:pPr>
        <w:jc w:val="center"/>
        <w:rPr>
          <w:lang w:val="en-GB"/>
        </w:rPr>
      </w:pPr>
      <w:r>
        <w:rPr>
          <w:i/>
          <w:iCs/>
          <w:sz w:val="24"/>
          <w:szCs w:val="24"/>
          <w:lang w:val="en-US"/>
        </w:rPr>
        <w:t> </w:t>
      </w:r>
    </w:p>
    <w:p w14:paraId="64366238" w14:textId="77777777" w:rsidR="000553DA" w:rsidRDefault="000553DA" w:rsidP="000553DA">
      <w:pPr>
        <w:pStyle w:val="BodyText"/>
        <w:spacing w:line="276" w:lineRule="auto"/>
        <w:jc w:val="both"/>
        <w:rPr>
          <w:lang w:val="en-GB"/>
        </w:rPr>
      </w:pPr>
      <w:r>
        <w:rPr>
          <w:sz w:val="22"/>
          <w:szCs w:val="22"/>
          <w:lang w:val="en-GB"/>
        </w:rPr>
        <w:t xml:space="preserve">Recently, evidence has been found that physical and health properties of pectin are highly dependent on its chemical structure. Typical characteristics of pectins include level and distribution of methyl-esters and molecular weight. These properties may not only arise from the level of methyl esterification but also on specific methyl-esterification patterns. However, determining the methyl ester distribution of pectins and creating pectins with </w:t>
      </w:r>
      <w:proofErr w:type="gramStart"/>
      <w:r>
        <w:rPr>
          <w:sz w:val="22"/>
          <w:szCs w:val="22"/>
          <w:lang w:val="en-GB"/>
        </w:rPr>
        <w:t>an</w:t>
      </w:r>
      <w:proofErr w:type="gramEnd"/>
      <w:r>
        <w:rPr>
          <w:sz w:val="22"/>
          <w:szCs w:val="22"/>
          <w:lang w:val="en-GB"/>
        </w:rPr>
        <w:t xml:space="preserve"> desired pattern of methyl esterification is challenging. In this study we aim to fully characterize and modify pectins before testing these pectins for their bioactivity.</w:t>
      </w:r>
    </w:p>
    <w:p w14:paraId="1562EC6B" w14:textId="77777777" w:rsidR="000553DA" w:rsidRDefault="000553DA" w:rsidP="000553DA">
      <w:pPr>
        <w:pStyle w:val="BodyText"/>
        <w:spacing w:line="276" w:lineRule="auto"/>
        <w:jc w:val="both"/>
        <w:rPr>
          <w:lang w:val="en-GB"/>
        </w:rPr>
      </w:pPr>
      <w:r>
        <w:rPr>
          <w:sz w:val="22"/>
          <w:szCs w:val="22"/>
          <w:lang w:val="en-GB"/>
        </w:rPr>
        <w:t>To reveal the methyl-ester distribution patterns in pectins, enzymatic fingerprinting is applied, using a combined endo-</w:t>
      </w:r>
      <w:proofErr w:type="spellStart"/>
      <w:r>
        <w:rPr>
          <w:sz w:val="22"/>
          <w:szCs w:val="22"/>
          <w:lang w:val="en-GB"/>
        </w:rPr>
        <w:t>polygalacturonase</w:t>
      </w:r>
      <w:proofErr w:type="spellEnd"/>
      <w:r>
        <w:rPr>
          <w:sz w:val="22"/>
          <w:szCs w:val="22"/>
          <w:lang w:val="en-GB"/>
        </w:rPr>
        <w:t xml:space="preserve"> (PG) and pectin lyase (PL) treatment. This method allowed us to develop new quantitative parameters, such as degree of </w:t>
      </w:r>
      <w:proofErr w:type="spellStart"/>
      <w:r>
        <w:rPr>
          <w:sz w:val="22"/>
          <w:szCs w:val="22"/>
          <w:lang w:val="en-GB"/>
        </w:rPr>
        <w:t>blockiness</w:t>
      </w:r>
      <w:proofErr w:type="spellEnd"/>
      <w:r>
        <w:rPr>
          <w:sz w:val="22"/>
          <w:szCs w:val="22"/>
          <w:lang w:val="en-GB"/>
        </w:rPr>
        <w:t xml:space="preserve"> (DB) degree of hydrolysis by PG (DH</w:t>
      </w:r>
      <w:r>
        <w:rPr>
          <w:sz w:val="22"/>
          <w:szCs w:val="22"/>
          <w:vertAlign w:val="subscript"/>
          <w:lang w:val="en-GB"/>
        </w:rPr>
        <w:t>PG</w:t>
      </w:r>
      <w:r>
        <w:rPr>
          <w:sz w:val="22"/>
          <w:szCs w:val="22"/>
          <w:lang w:val="en-GB"/>
        </w:rPr>
        <w:t>) and degree of hydrolysis by PL (DH</w:t>
      </w:r>
      <w:r>
        <w:rPr>
          <w:sz w:val="22"/>
          <w:szCs w:val="22"/>
          <w:vertAlign w:val="subscript"/>
          <w:lang w:val="en-GB"/>
        </w:rPr>
        <w:t>PL</w:t>
      </w:r>
      <w:r>
        <w:rPr>
          <w:sz w:val="22"/>
          <w:szCs w:val="22"/>
          <w:lang w:val="en-GB"/>
        </w:rPr>
        <w:t xml:space="preserve">). The ratio of these parameters </w:t>
      </w:r>
      <w:proofErr w:type="gramStart"/>
      <w:r>
        <w:rPr>
          <w:sz w:val="22"/>
          <w:szCs w:val="22"/>
          <w:lang w:val="en-GB"/>
        </w:rPr>
        <w:t>reveal</w:t>
      </w:r>
      <w:proofErr w:type="gramEnd"/>
      <w:r>
        <w:rPr>
          <w:sz w:val="22"/>
          <w:szCs w:val="22"/>
          <w:lang w:val="en-GB"/>
        </w:rPr>
        <w:t xml:space="preserve"> further differences between pectins with similar characteristics. Orange pectins were modified chemically to yield highly esterified pectins. Both re-esterified and starting pectins were de-esterified to desired methyl esterification levels using alkali. After enzymatic fingerprinting all the pectins analysed showed a distinct methyl esterification pattern as judged form the descriptive parameters. </w:t>
      </w:r>
    </w:p>
    <w:p w14:paraId="0F1471D5" w14:textId="77777777" w:rsidR="000553DA" w:rsidRDefault="000553DA" w:rsidP="000553DA">
      <w:pPr>
        <w:pStyle w:val="BodyText"/>
        <w:jc w:val="both"/>
        <w:rPr>
          <w:lang w:val="en-GB"/>
        </w:rPr>
      </w:pPr>
      <w:r>
        <w:rPr>
          <w:sz w:val="22"/>
          <w:szCs w:val="22"/>
          <w:lang w:val="en-GB"/>
        </w:rPr>
        <w:t> </w:t>
      </w:r>
    </w:p>
    <w:p w14:paraId="1E5FAB42" w14:textId="77777777" w:rsidR="000553DA" w:rsidRDefault="000553DA" w:rsidP="000553DA">
      <w:pPr>
        <w:pStyle w:val="BodyText"/>
        <w:jc w:val="both"/>
        <w:rPr>
          <w:lang w:val="en-GB"/>
        </w:rPr>
      </w:pPr>
      <w:r>
        <w:rPr>
          <w:rFonts w:ascii="Times New Roman" w:hAnsi="Times New Roman" w:cs="Times New Roman"/>
          <w:lang w:val="en-GB"/>
        </w:rPr>
        <w:t> </w:t>
      </w:r>
    </w:p>
    <w:p w14:paraId="5739C344" w14:textId="77777777" w:rsidR="000553DA" w:rsidRDefault="000553DA" w:rsidP="000553DA">
      <w:pPr>
        <w:pStyle w:val="BodyText"/>
        <w:jc w:val="both"/>
      </w:pPr>
      <w:r>
        <w:rPr>
          <w:i/>
          <w:iCs/>
          <w:sz w:val="20"/>
          <w:szCs w:val="20"/>
          <w:lang w:val="en-GB"/>
        </w:rPr>
        <w:t>References:</w:t>
      </w:r>
    </w:p>
    <w:p w14:paraId="5E04DBB2" w14:textId="77777777" w:rsidR="000553DA" w:rsidRDefault="000553DA" w:rsidP="000553DA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 xml:space="preserve">S.E.Guillotin, E.J.Bakx, P.Boulenguer, H.A.Schols, A.G.J.Voragen (2007). </w:t>
      </w:r>
      <w:r>
        <w:rPr>
          <w:rFonts w:ascii="Arial" w:hAnsi="Arial" w:cs="Arial"/>
          <w:sz w:val="20"/>
          <w:szCs w:val="20"/>
          <w:lang w:val="en-GB"/>
        </w:rPr>
        <w:t xml:space="preserve">Determination of the degree of substitution, degree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amidation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degree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blockiness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of commercial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pectins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by using capillary electrophoresis. Food Hydrocolloids. 2007 May;21(3): 444-451</w:t>
      </w:r>
    </w:p>
    <w:p w14:paraId="7B6D2D41" w14:textId="77777777" w:rsidR="000553DA" w:rsidRDefault="000553DA" w:rsidP="000553DA">
      <w:pPr>
        <w:pStyle w:val="ListParagraph"/>
        <w:numPr>
          <w:ilvl w:val="0"/>
          <w:numId w:val="1"/>
        </w:numPr>
        <w:spacing w:after="0"/>
      </w:pPr>
      <w:proofErr w:type="spellStart"/>
      <w:r>
        <w:rPr>
          <w:rFonts w:ascii="Arial" w:hAnsi="Arial" w:cs="Arial"/>
          <w:sz w:val="20"/>
          <w:szCs w:val="20"/>
          <w:lang w:val="en-GB"/>
        </w:rPr>
        <w:t>C.Remoroza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S.Broxterman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H.Gruppen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H.A.Schols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(2014) Two-step enzymatic fingerprinting of sugar beet pectin. Carbohydrate Polymers 108: 338-347</w:t>
      </w:r>
    </w:p>
    <w:p w14:paraId="266DFE8A" w14:textId="77777777" w:rsidR="000553DA" w:rsidRDefault="000553DA" w:rsidP="000553DA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  <w:lang w:val="en-GB"/>
        </w:rPr>
        <w:t xml:space="preserve">Vogt, L. M., N. M.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Sahasrabudhe</w:t>
      </w:r>
      <w:proofErr w:type="spellEnd"/>
      <w:r>
        <w:rPr>
          <w:rFonts w:ascii="Arial" w:hAnsi="Arial" w:cs="Arial"/>
          <w:sz w:val="20"/>
          <w:szCs w:val="20"/>
          <w:lang w:val="en-GB"/>
        </w:rPr>
        <w:t>, U. Ramasamy, D. Meyer, G. Pullens, M. M. Faas, K. Venema, H. A. Schols and P. d. Vos (2016). The impact of lemon pectin characteristics on TLR activation and T84 intestinal epithelial cell barrier function. Journal of Functional Foods 22: 398-407.</w:t>
      </w:r>
    </w:p>
    <w:p w14:paraId="64CACB92" w14:textId="77777777" w:rsidR="000553DA" w:rsidRDefault="000553DA" w:rsidP="000553DA">
      <w:pPr>
        <w:pStyle w:val="ListParagraph"/>
        <w:numPr>
          <w:ilvl w:val="0"/>
          <w:numId w:val="1"/>
        </w:numPr>
        <w:spacing w:after="0"/>
      </w:pPr>
      <w:proofErr w:type="spellStart"/>
      <w:r>
        <w:rPr>
          <w:rFonts w:ascii="Arial" w:hAnsi="Arial" w:cs="Arial"/>
          <w:sz w:val="20"/>
          <w:szCs w:val="20"/>
          <w:lang w:val="en-GB"/>
        </w:rPr>
        <w:t>Sahasrabudhe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 NM et al. (2018). Dietary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Fiber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Pectin Directly Blocks Toll-Like Receptor 2–1 and Prevents Doxorubicin-Induced Ileitis. Front. Immunol. 9:383.</w:t>
      </w:r>
    </w:p>
    <w:p w14:paraId="52F09F44" w14:textId="77777777" w:rsidR="000553DA" w:rsidRDefault="000553DA" w:rsidP="000553DA">
      <w:pPr>
        <w:ind w:left="187" w:hanging="187"/>
        <w:jc w:val="both"/>
      </w:pPr>
      <w:r>
        <w:rPr>
          <w:rFonts w:ascii="Arial" w:hAnsi="Arial" w:cs="Arial"/>
          <w:sz w:val="20"/>
          <w:szCs w:val="20"/>
          <w:lang w:val="en-GB"/>
        </w:rPr>
        <w:t> </w:t>
      </w:r>
    </w:p>
    <w:p w14:paraId="741ADDE0" w14:textId="77777777" w:rsidR="000553DA" w:rsidRDefault="000553DA" w:rsidP="000553DA">
      <w:pPr>
        <w:pStyle w:val="BodyText"/>
      </w:pPr>
      <w:r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45BEC2FA" w14:textId="77777777" w:rsidR="000553DA" w:rsidRDefault="000553DA" w:rsidP="000553DA">
      <w:r>
        <w:rPr>
          <w:rFonts w:ascii="Verdana" w:hAnsi="Verdana"/>
          <w:color w:val="1F497D"/>
          <w:sz w:val="20"/>
          <w:szCs w:val="20"/>
          <w:lang w:val="en-GB"/>
        </w:rPr>
        <w:t> </w:t>
      </w:r>
    </w:p>
    <w:p w14:paraId="424ABA2D" w14:textId="77777777" w:rsidR="00AC63B4" w:rsidRDefault="00AC63B4"/>
    <w:sectPr w:rsidR="00AC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6371"/>
    <w:multiLevelType w:val="hybridMultilevel"/>
    <w:tmpl w:val="039A9EDC"/>
    <w:lvl w:ilvl="0" w:tplc="D2967F2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DA"/>
    <w:rsid w:val="000553DA"/>
    <w:rsid w:val="00AC63B4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709E"/>
  <w15:chartTrackingRefBased/>
  <w15:docId w15:val="{125DF85B-2FE5-4249-8EA6-51C5F974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DA"/>
    <w:pPr>
      <w:spacing w:after="0" w:line="240" w:lineRule="auto"/>
    </w:pPr>
    <w:rPr>
      <w:rFonts w:ascii="Calibri" w:hAnsi="Calibri" w:cs="Times New Roman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553DA"/>
    <w:pPr>
      <w:autoSpaceDE w:val="0"/>
      <w:autoSpaceDN w:val="0"/>
    </w:pPr>
    <w:rPr>
      <w:rFonts w:ascii="Arial" w:hAnsi="Arial" w:cs="Arial"/>
      <w:sz w:val="24"/>
      <w:szCs w:val="24"/>
      <w:lang w:eastAsia="nl-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3DA"/>
    <w:rPr>
      <w:rFonts w:ascii="Arial" w:hAnsi="Arial" w:cs="Arial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0553DA"/>
    <w:pPr>
      <w:spacing w:after="200" w:line="276" w:lineRule="auto"/>
      <w:ind w:left="720"/>
      <w:contextualSpacing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Schols, Henk</dc:creator>
  <cp:keywords/>
  <dc:description/>
  <cp:lastModifiedBy>Peter Williams</cp:lastModifiedBy>
  <cp:revision>2</cp:revision>
  <dcterms:created xsi:type="dcterms:W3CDTF">2019-04-08T07:42:00Z</dcterms:created>
  <dcterms:modified xsi:type="dcterms:W3CDTF">2019-04-08T07:42:00Z</dcterms:modified>
</cp:coreProperties>
</file>