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835" w:rsidRPr="004E3835" w:rsidRDefault="004E3835" w:rsidP="004E3835">
      <w:pPr>
        <w:pStyle w:val="Heading4"/>
        <w:rPr>
          <w:b/>
          <w:bCs/>
          <w:i w:val="0"/>
          <w:iCs/>
          <w:sz w:val="32"/>
          <w:szCs w:val="32"/>
        </w:rPr>
      </w:pPr>
      <w:r w:rsidRPr="004E3835">
        <w:rPr>
          <w:b/>
          <w:bCs/>
          <w:i w:val="0"/>
          <w:iCs/>
          <w:sz w:val="32"/>
          <w:szCs w:val="32"/>
        </w:rPr>
        <w:t xml:space="preserve">Influence of Hofmeister cations and composition on carboxymethyl cellulose stabilized o/w Pickering emulsions and application in the encapsulation of vitamin E </w:t>
      </w:r>
    </w:p>
    <w:p w:rsidR="004E3835" w:rsidRPr="004E3835" w:rsidRDefault="004E3835" w:rsidP="004E3835">
      <w:pPr>
        <w:spacing w:after="142" w:line="360" w:lineRule="auto"/>
        <w:ind w:left="1345" w:right="44"/>
        <w:rPr>
          <w:color w:val="auto"/>
          <w:szCs w:val="24"/>
        </w:rPr>
      </w:pPr>
      <w:r w:rsidRPr="004E3835">
        <w:rPr>
          <w:color w:val="auto"/>
          <w:szCs w:val="24"/>
        </w:rPr>
        <w:t>Olusanya, S.O.</w:t>
      </w:r>
      <w:r w:rsidRPr="004E3835">
        <w:rPr>
          <w:color w:val="auto"/>
          <w:szCs w:val="24"/>
          <w:vertAlign w:val="superscript"/>
        </w:rPr>
        <w:t>1</w:t>
      </w:r>
      <w:r w:rsidRPr="004E3835">
        <w:rPr>
          <w:color w:val="auto"/>
          <w:szCs w:val="24"/>
        </w:rPr>
        <w:t xml:space="preserve">*, </w:t>
      </w:r>
      <w:proofErr w:type="spellStart"/>
      <w:r w:rsidRPr="004E3835">
        <w:rPr>
          <w:color w:val="auto"/>
          <w:szCs w:val="24"/>
        </w:rPr>
        <w:t>Sodeinde</w:t>
      </w:r>
      <w:proofErr w:type="spellEnd"/>
      <w:r w:rsidRPr="004E3835">
        <w:rPr>
          <w:color w:val="auto"/>
          <w:szCs w:val="24"/>
        </w:rPr>
        <w:t>, K.O.</w:t>
      </w:r>
      <w:r w:rsidRPr="004E3835">
        <w:rPr>
          <w:color w:val="auto"/>
          <w:szCs w:val="24"/>
          <w:vertAlign w:val="superscript"/>
        </w:rPr>
        <w:t>1</w:t>
      </w:r>
      <w:r w:rsidRPr="004E3835">
        <w:rPr>
          <w:color w:val="auto"/>
          <w:szCs w:val="24"/>
        </w:rPr>
        <w:t xml:space="preserve">, </w:t>
      </w:r>
      <w:proofErr w:type="spellStart"/>
      <w:r w:rsidRPr="004E3835">
        <w:rPr>
          <w:color w:val="auto"/>
          <w:szCs w:val="24"/>
        </w:rPr>
        <w:t>Fapojuwo</w:t>
      </w:r>
      <w:proofErr w:type="spellEnd"/>
      <w:r w:rsidRPr="004E3835">
        <w:rPr>
          <w:color w:val="auto"/>
          <w:szCs w:val="24"/>
        </w:rPr>
        <w:t xml:space="preserve"> D.P.</w:t>
      </w:r>
      <w:r w:rsidRPr="004E3835">
        <w:rPr>
          <w:color w:val="auto"/>
          <w:szCs w:val="24"/>
          <w:vertAlign w:val="superscript"/>
        </w:rPr>
        <w:t>2</w:t>
      </w:r>
      <w:r w:rsidRPr="004E3835">
        <w:rPr>
          <w:color w:val="auto"/>
          <w:szCs w:val="24"/>
        </w:rPr>
        <w:t>, Nishinari, K.</w:t>
      </w:r>
      <w:r w:rsidRPr="004E3835">
        <w:rPr>
          <w:color w:val="auto"/>
          <w:szCs w:val="24"/>
          <w:vertAlign w:val="superscript"/>
        </w:rPr>
        <w:t>3</w:t>
      </w:r>
      <w:r w:rsidRPr="004E3835">
        <w:rPr>
          <w:color w:val="auto"/>
          <w:szCs w:val="24"/>
        </w:rPr>
        <w:t xml:space="preserve">, </w:t>
      </w:r>
      <w:proofErr w:type="spellStart"/>
      <w:r w:rsidRPr="004E3835">
        <w:rPr>
          <w:color w:val="auto"/>
          <w:szCs w:val="24"/>
        </w:rPr>
        <w:t>Koschella</w:t>
      </w:r>
      <w:proofErr w:type="spellEnd"/>
      <w:r w:rsidRPr="004E3835">
        <w:rPr>
          <w:color w:val="auto"/>
          <w:szCs w:val="24"/>
        </w:rPr>
        <w:t>, A.</w:t>
      </w:r>
      <w:r w:rsidRPr="004E3835">
        <w:rPr>
          <w:color w:val="auto"/>
          <w:szCs w:val="24"/>
          <w:vertAlign w:val="superscript"/>
        </w:rPr>
        <w:t>4</w:t>
      </w:r>
      <w:r w:rsidRPr="004E3835">
        <w:rPr>
          <w:color w:val="auto"/>
          <w:szCs w:val="24"/>
        </w:rPr>
        <w:t>, Lindemann, H.</w:t>
      </w:r>
      <w:r w:rsidRPr="004E3835">
        <w:rPr>
          <w:color w:val="auto"/>
          <w:szCs w:val="24"/>
          <w:vertAlign w:val="superscript"/>
        </w:rPr>
        <w:t>4</w:t>
      </w:r>
      <w:r w:rsidRPr="004E3835">
        <w:rPr>
          <w:color w:val="auto"/>
          <w:szCs w:val="24"/>
        </w:rPr>
        <w:t>, Heinze, T.</w:t>
      </w:r>
      <w:r w:rsidRPr="004E3835">
        <w:rPr>
          <w:color w:val="auto"/>
          <w:szCs w:val="24"/>
          <w:vertAlign w:val="superscript"/>
        </w:rPr>
        <w:t>4</w:t>
      </w:r>
      <w:proofErr w:type="gramStart"/>
      <w:r w:rsidRPr="004E3835">
        <w:rPr>
          <w:color w:val="auto"/>
          <w:szCs w:val="24"/>
        </w:rPr>
        <w:t xml:space="preserve">, </w:t>
      </w:r>
      <w:r w:rsidRPr="004E3835">
        <w:rPr>
          <w:color w:val="auto"/>
          <w:szCs w:val="24"/>
          <w:vertAlign w:val="superscript"/>
        </w:rPr>
        <w:t xml:space="preserve"> </w:t>
      </w:r>
      <w:r w:rsidRPr="004E3835">
        <w:rPr>
          <w:color w:val="auto"/>
          <w:szCs w:val="24"/>
        </w:rPr>
        <w:t>Lawal</w:t>
      </w:r>
      <w:proofErr w:type="gramEnd"/>
      <w:r w:rsidRPr="004E3835">
        <w:rPr>
          <w:color w:val="auto"/>
          <w:szCs w:val="24"/>
        </w:rPr>
        <w:t>, O.S.</w:t>
      </w:r>
      <w:r w:rsidRPr="004E3835">
        <w:rPr>
          <w:color w:val="auto"/>
          <w:szCs w:val="24"/>
          <w:vertAlign w:val="superscript"/>
        </w:rPr>
        <w:t>1,4*</w:t>
      </w:r>
    </w:p>
    <w:p w:rsidR="004E3835" w:rsidRPr="004E3835" w:rsidRDefault="004E3835" w:rsidP="004E3835">
      <w:pPr>
        <w:spacing w:line="360" w:lineRule="auto"/>
        <w:ind w:left="1335" w:right="44"/>
        <w:rPr>
          <w:i/>
          <w:iCs/>
          <w:color w:val="auto"/>
          <w:szCs w:val="24"/>
        </w:rPr>
      </w:pPr>
      <w:r w:rsidRPr="004E3835">
        <w:rPr>
          <w:i/>
          <w:iCs/>
          <w:color w:val="auto"/>
          <w:szCs w:val="24"/>
          <w:vertAlign w:val="superscript"/>
        </w:rPr>
        <w:t>1</w:t>
      </w:r>
      <w:r w:rsidRPr="004E3835">
        <w:rPr>
          <w:i/>
          <w:iCs/>
          <w:color w:val="auto"/>
          <w:szCs w:val="24"/>
        </w:rPr>
        <w:t xml:space="preserve">Materials and </w:t>
      </w:r>
      <w:proofErr w:type="spellStart"/>
      <w:r w:rsidRPr="004E3835">
        <w:rPr>
          <w:i/>
          <w:iCs/>
          <w:color w:val="auto"/>
          <w:szCs w:val="24"/>
        </w:rPr>
        <w:t>Nanoresearch</w:t>
      </w:r>
      <w:proofErr w:type="spellEnd"/>
      <w:r w:rsidRPr="004E3835">
        <w:rPr>
          <w:i/>
          <w:iCs/>
          <w:color w:val="auto"/>
          <w:szCs w:val="24"/>
        </w:rPr>
        <w:t xml:space="preserve"> Unit, Department of Industrial Chemistry, Federal University </w:t>
      </w:r>
      <w:proofErr w:type="spellStart"/>
      <w:r w:rsidRPr="004E3835">
        <w:rPr>
          <w:i/>
          <w:iCs/>
          <w:color w:val="auto"/>
          <w:szCs w:val="24"/>
        </w:rPr>
        <w:t>Oye</w:t>
      </w:r>
      <w:proofErr w:type="spellEnd"/>
      <w:r w:rsidRPr="004E3835">
        <w:rPr>
          <w:i/>
          <w:iCs/>
          <w:color w:val="auto"/>
          <w:szCs w:val="24"/>
        </w:rPr>
        <w:t xml:space="preserve">-Ekiti, P.M.B. 373, </w:t>
      </w:r>
      <w:proofErr w:type="spellStart"/>
      <w:r w:rsidRPr="004E3835">
        <w:rPr>
          <w:i/>
          <w:iCs/>
          <w:color w:val="auto"/>
          <w:szCs w:val="24"/>
        </w:rPr>
        <w:t>Oye</w:t>
      </w:r>
      <w:proofErr w:type="spellEnd"/>
      <w:r w:rsidRPr="004E3835">
        <w:rPr>
          <w:i/>
          <w:iCs/>
          <w:color w:val="auto"/>
          <w:szCs w:val="24"/>
        </w:rPr>
        <w:t xml:space="preserve">-Ekiti, Ekiti State, Nigeria.  </w:t>
      </w:r>
    </w:p>
    <w:p w:rsidR="004E3835" w:rsidRPr="004E3835" w:rsidRDefault="004E3835" w:rsidP="004E3835">
      <w:pPr>
        <w:rPr>
          <w:i/>
          <w:iCs/>
          <w:color w:val="auto"/>
          <w:szCs w:val="24"/>
        </w:rPr>
      </w:pPr>
      <w:r w:rsidRPr="004E3835">
        <w:rPr>
          <w:i/>
          <w:iCs/>
          <w:color w:val="auto"/>
          <w:szCs w:val="24"/>
          <w:vertAlign w:val="superscript"/>
        </w:rPr>
        <w:t>2</w:t>
      </w:r>
      <w:r w:rsidRPr="004E3835">
        <w:rPr>
          <w:i/>
          <w:iCs/>
          <w:color w:val="auto"/>
          <w:szCs w:val="24"/>
        </w:rPr>
        <w:t>Centre for Synthesis and Catalysis, University of Johannesburg, South Africa.</w:t>
      </w:r>
    </w:p>
    <w:p w:rsidR="004E3835" w:rsidRPr="004E3835" w:rsidRDefault="004E3835" w:rsidP="004E3835">
      <w:pPr>
        <w:rPr>
          <w:i/>
          <w:iCs/>
          <w:color w:val="auto"/>
          <w:szCs w:val="24"/>
        </w:rPr>
      </w:pPr>
      <w:r w:rsidRPr="004E3835">
        <w:rPr>
          <w:i/>
          <w:iCs/>
          <w:color w:val="auto"/>
          <w:szCs w:val="24"/>
          <w:vertAlign w:val="superscript"/>
        </w:rPr>
        <w:t>3</w:t>
      </w:r>
      <w:r w:rsidRPr="004E3835">
        <w:rPr>
          <w:i/>
          <w:iCs/>
          <w:color w:val="auto"/>
          <w:szCs w:val="24"/>
        </w:rPr>
        <w:t>Glyn O. Phillips Hydrocolloid Research Centre, School of Food and Pharmaceutical Engineering, Faculty of Light Industry, Hubei University of Technology, Wuhan 430068, China.</w:t>
      </w:r>
    </w:p>
    <w:p w:rsidR="004E3835" w:rsidRPr="004E3835" w:rsidRDefault="004E3835" w:rsidP="004E3835">
      <w:pPr>
        <w:rPr>
          <w:i/>
          <w:iCs/>
          <w:color w:val="auto"/>
          <w:szCs w:val="24"/>
        </w:rPr>
      </w:pPr>
      <w:r w:rsidRPr="004E3835">
        <w:rPr>
          <w:i/>
          <w:iCs/>
          <w:color w:val="auto"/>
          <w:szCs w:val="24"/>
          <w:vertAlign w:val="superscript"/>
        </w:rPr>
        <w:t>4</w:t>
      </w:r>
      <w:r w:rsidRPr="004E3835">
        <w:rPr>
          <w:i/>
          <w:iCs/>
          <w:color w:val="auto"/>
          <w:szCs w:val="24"/>
        </w:rPr>
        <w:t xml:space="preserve">Center of Excellence for Polysaccharide Research, Institute of Organic Chemistry and Macromolecular Chemistry, Friedrich Schiller University Jena, </w:t>
      </w:r>
      <w:proofErr w:type="spellStart"/>
      <w:r w:rsidRPr="004E3835">
        <w:rPr>
          <w:i/>
          <w:iCs/>
          <w:color w:val="auto"/>
          <w:szCs w:val="24"/>
        </w:rPr>
        <w:t>Humboldtstr</w:t>
      </w:r>
      <w:proofErr w:type="spellEnd"/>
      <w:r w:rsidRPr="004E3835">
        <w:rPr>
          <w:i/>
          <w:iCs/>
          <w:color w:val="auto"/>
          <w:szCs w:val="24"/>
        </w:rPr>
        <w:t>. 10, 07743 Jena, Germany.</w:t>
      </w:r>
    </w:p>
    <w:p w:rsidR="004E3835" w:rsidRPr="00B75E02" w:rsidRDefault="004E3835" w:rsidP="004E3835">
      <w:pPr>
        <w:rPr>
          <w:color w:val="auto"/>
          <w:szCs w:val="24"/>
        </w:rPr>
      </w:pPr>
    </w:p>
    <w:p w:rsidR="004E3835" w:rsidRPr="00B75E02" w:rsidRDefault="004E3835" w:rsidP="004E3835">
      <w:pPr>
        <w:spacing w:after="144" w:line="360" w:lineRule="auto"/>
        <w:ind w:left="1335" w:right="44"/>
        <w:rPr>
          <w:color w:val="auto"/>
          <w:szCs w:val="24"/>
        </w:rPr>
      </w:pPr>
    </w:p>
    <w:p w:rsidR="004E3835" w:rsidRPr="00B75E02" w:rsidRDefault="004E3835" w:rsidP="004E3835">
      <w:pPr>
        <w:spacing w:line="360" w:lineRule="auto"/>
        <w:ind w:left="1335" w:right="44"/>
        <w:rPr>
          <w:color w:val="auto"/>
          <w:szCs w:val="24"/>
        </w:rPr>
      </w:pPr>
      <w:r w:rsidRPr="00B75E02">
        <w:rPr>
          <w:color w:val="auto"/>
          <w:szCs w:val="24"/>
        </w:rPr>
        <w:t xml:space="preserve">*Corresponding address: samuel.olusanya@fuoye.edu.ng &amp; </w:t>
      </w:r>
      <w:hyperlink r:id="rId5" w:history="1">
        <w:r w:rsidRPr="00B75E02">
          <w:rPr>
            <w:rStyle w:val="Hyperlink"/>
            <w:color w:val="auto"/>
            <w:szCs w:val="24"/>
            <w:u w:color="0563C1"/>
          </w:rPr>
          <w:t>olayide.lawal@fuoye.edu.ng</w:t>
        </w:r>
      </w:hyperlink>
    </w:p>
    <w:p w:rsidR="004E3835" w:rsidRDefault="004E3835" w:rsidP="004E3835">
      <w:pPr>
        <w:spacing w:after="160" w:line="259" w:lineRule="auto"/>
        <w:ind w:left="0" w:firstLine="0"/>
        <w:jc w:val="left"/>
        <w:rPr>
          <w:b/>
          <w:color w:val="auto"/>
          <w:szCs w:val="24"/>
        </w:rPr>
      </w:pPr>
      <w:r>
        <w:rPr>
          <w:b/>
          <w:color w:val="auto"/>
          <w:szCs w:val="24"/>
        </w:rPr>
        <w:br w:type="page"/>
      </w:r>
    </w:p>
    <w:p w:rsidR="004E3835" w:rsidRPr="004E3835" w:rsidRDefault="004E3835" w:rsidP="004E3835">
      <w:pPr>
        <w:spacing w:line="360" w:lineRule="auto"/>
        <w:ind w:left="142" w:right="44"/>
        <w:rPr>
          <w:rFonts w:ascii="Arial" w:hAnsi="Arial" w:cs="Arial"/>
          <w:color w:val="auto"/>
          <w:sz w:val="22"/>
        </w:rPr>
      </w:pPr>
      <w:r w:rsidRPr="004E3835">
        <w:rPr>
          <w:rFonts w:ascii="Arial" w:hAnsi="Arial" w:cs="Arial"/>
          <w:b/>
          <w:color w:val="auto"/>
          <w:sz w:val="22"/>
        </w:rPr>
        <w:lastRenderedPageBreak/>
        <w:t xml:space="preserve">Abstract </w:t>
      </w:r>
    </w:p>
    <w:p w:rsidR="004E3835" w:rsidRPr="004E3835" w:rsidRDefault="004E3835" w:rsidP="004E3835">
      <w:pPr>
        <w:spacing w:line="360" w:lineRule="auto"/>
        <w:ind w:left="142" w:right="44"/>
        <w:rPr>
          <w:rFonts w:ascii="Arial" w:hAnsi="Arial" w:cs="Arial"/>
          <w:color w:val="auto"/>
          <w:sz w:val="22"/>
        </w:rPr>
      </w:pPr>
      <w:r w:rsidRPr="004E3835">
        <w:rPr>
          <w:rFonts w:ascii="Arial" w:hAnsi="Arial" w:cs="Arial"/>
          <w:color w:val="auto"/>
          <w:sz w:val="22"/>
        </w:rPr>
        <w:t>Pickering emulsions have gained considerable interest due to their applications in the food, cosmetics, and pharmaceutical industries. In this study, we investigated the roles of pH value, oil/water volume ratio, Hofmeister cations (Na</w:t>
      </w:r>
      <w:r w:rsidRPr="004E3835">
        <w:rPr>
          <w:rFonts w:ascii="Arial" w:hAnsi="Arial" w:cs="Arial"/>
          <w:color w:val="auto"/>
          <w:sz w:val="22"/>
          <w:vertAlign w:val="superscript"/>
        </w:rPr>
        <w:t>+</w:t>
      </w:r>
      <w:r w:rsidRPr="004E3835">
        <w:rPr>
          <w:rFonts w:ascii="Arial" w:hAnsi="Arial" w:cs="Arial"/>
          <w:color w:val="auto"/>
          <w:sz w:val="22"/>
        </w:rPr>
        <w:t>, NH</w:t>
      </w:r>
      <w:r w:rsidRPr="004E3835">
        <w:rPr>
          <w:rFonts w:ascii="Arial" w:hAnsi="Arial" w:cs="Arial"/>
          <w:color w:val="auto"/>
          <w:sz w:val="22"/>
          <w:vertAlign w:val="subscript"/>
        </w:rPr>
        <w:t>4</w:t>
      </w:r>
      <w:r w:rsidRPr="004E3835">
        <w:rPr>
          <w:rFonts w:ascii="Arial" w:hAnsi="Arial" w:cs="Arial"/>
          <w:color w:val="auto"/>
          <w:sz w:val="22"/>
          <w:vertAlign w:val="superscript"/>
        </w:rPr>
        <w:t>+</w:t>
      </w:r>
      <w:r w:rsidRPr="004E3835">
        <w:rPr>
          <w:rFonts w:ascii="Arial" w:hAnsi="Arial" w:cs="Arial"/>
          <w:color w:val="auto"/>
          <w:sz w:val="22"/>
        </w:rPr>
        <w:t>, Ca</w:t>
      </w:r>
      <w:r w:rsidRPr="004E3835">
        <w:rPr>
          <w:rFonts w:ascii="Arial" w:hAnsi="Arial" w:cs="Arial"/>
          <w:color w:val="auto"/>
          <w:sz w:val="22"/>
          <w:vertAlign w:val="superscript"/>
        </w:rPr>
        <w:t>2+</w:t>
      </w:r>
      <w:r w:rsidRPr="004E3835">
        <w:rPr>
          <w:rFonts w:ascii="Arial" w:hAnsi="Arial" w:cs="Arial"/>
          <w:color w:val="auto"/>
          <w:sz w:val="22"/>
        </w:rPr>
        <w:t xml:space="preserve"> and Mg</w:t>
      </w:r>
      <w:r w:rsidRPr="004E3835">
        <w:rPr>
          <w:rFonts w:ascii="Arial" w:hAnsi="Arial" w:cs="Arial"/>
          <w:color w:val="auto"/>
          <w:sz w:val="22"/>
          <w:vertAlign w:val="superscript"/>
        </w:rPr>
        <w:t>2+</w:t>
      </w:r>
      <w:r w:rsidRPr="004E3835">
        <w:rPr>
          <w:rFonts w:ascii="Arial" w:hAnsi="Arial" w:cs="Arial"/>
          <w:color w:val="auto"/>
          <w:sz w:val="22"/>
        </w:rPr>
        <w:t xml:space="preserve">) as well as chitosan concentrations on carboxymethyl cellulose (CMC) stabilized Pickering emulsions and their application in the encapsulation of vitamin E. Morphology, crystallinity and functional groups were investigated by Scanning Electron Microscopy (SEM), Optical Microscopic Techniques, X-ray Diffractometry (XRD) and Fourier Transform Infrared (FTIR) spectrometry. SEM images revealed a thread-like morphology for CMC, while sponge-like morphology was observed in the images of chitosan and CMC-chitosan complex (CMC-CH). The combination of CMC and chitosan resulted in a complex structure with remarkable improvement in the stability of the emulsions to both creaming and coalescence compared to systems stabilized by either CMC or chitosan alone. At fixed </w:t>
      </w:r>
      <w:proofErr w:type="spellStart"/>
      <w:r w:rsidRPr="004E3835">
        <w:rPr>
          <w:rFonts w:ascii="Arial" w:hAnsi="Arial" w:cs="Arial"/>
          <w:color w:val="auto"/>
          <w:sz w:val="22"/>
        </w:rPr>
        <w:t>oil:water</w:t>
      </w:r>
      <w:proofErr w:type="spellEnd"/>
      <w:r w:rsidRPr="004E3835">
        <w:rPr>
          <w:rFonts w:ascii="Arial" w:hAnsi="Arial" w:cs="Arial"/>
          <w:color w:val="auto"/>
          <w:sz w:val="22"/>
        </w:rPr>
        <w:t xml:space="preserve"> ratio, the transitional phase inversion of emulsions stabilized by CMC occurred upon increasing the concentration of NH</w:t>
      </w:r>
      <w:r w:rsidRPr="004E3835">
        <w:rPr>
          <w:rFonts w:ascii="Arial" w:hAnsi="Arial" w:cs="Arial"/>
          <w:color w:val="auto"/>
          <w:sz w:val="22"/>
          <w:vertAlign w:val="subscript"/>
        </w:rPr>
        <w:t>4</w:t>
      </w:r>
      <w:r w:rsidRPr="004E3835">
        <w:rPr>
          <w:rFonts w:ascii="Arial" w:hAnsi="Arial" w:cs="Arial"/>
          <w:color w:val="auto"/>
          <w:sz w:val="22"/>
          <w:vertAlign w:val="superscript"/>
        </w:rPr>
        <w:t>+</w:t>
      </w:r>
      <w:r w:rsidRPr="004E3835">
        <w:rPr>
          <w:rFonts w:ascii="Arial" w:hAnsi="Arial" w:cs="Arial"/>
          <w:color w:val="auto"/>
          <w:sz w:val="22"/>
        </w:rPr>
        <w:t>, Mg</w:t>
      </w:r>
      <w:r w:rsidRPr="004E3835">
        <w:rPr>
          <w:rFonts w:ascii="Arial" w:hAnsi="Arial" w:cs="Arial"/>
          <w:color w:val="auto"/>
          <w:sz w:val="22"/>
          <w:vertAlign w:val="superscript"/>
        </w:rPr>
        <w:t>2+</w:t>
      </w:r>
      <w:r w:rsidRPr="004E3835">
        <w:rPr>
          <w:rFonts w:ascii="Arial" w:hAnsi="Arial" w:cs="Arial"/>
          <w:color w:val="auto"/>
          <w:sz w:val="22"/>
        </w:rPr>
        <w:t xml:space="preserve"> and Ca</w:t>
      </w:r>
      <w:r w:rsidRPr="004E3835">
        <w:rPr>
          <w:rFonts w:ascii="Arial" w:hAnsi="Arial" w:cs="Arial"/>
          <w:color w:val="auto"/>
          <w:sz w:val="22"/>
          <w:vertAlign w:val="superscript"/>
        </w:rPr>
        <w:t>2+</w:t>
      </w:r>
      <w:r w:rsidRPr="004E3835">
        <w:rPr>
          <w:rFonts w:ascii="Arial" w:hAnsi="Arial" w:cs="Arial"/>
          <w:color w:val="auto"/>
          <w:sz w:val="22"/>
        </w:rPr>
        <w:t xml:space="preserve"> Hofmeister cations, whereas emulsions containing Na</w:t>
      </w:r>
      <w:r w:rsidRPr="004E3835">
        <w:rPr>
          <w:rFonts w:ascii="Arial" w:hAnsi="Arial" w:cs="Arial"/>
          <w:color w:val="auto"/>
          <w:sz w:val="22"/>
          <w:vertAlign w:val="superscript"/>
        </w:rPr>
        <w:t>+</w:t>
      </w:r>
      <w:r w:rsidRPr="004E3835">
        <w:rPr>
          <w:rFonts w:ascii="Arial" w:hAnsi="Arial" w:cs="Arial"/>
          <w:color w:val="auto"/>
          <w:sz w:val="22"/>
        </w:rPr>
        <w:t xml:space="preserve"> ions are o/w at all concentrations. An increase in contact angle upon increasing the salt concentration was observed, which might be responsible for the observed phase inversion. Emulsion stability to coalescence is more favoured at lower pH &lt; 4 for chitosan particles, while CMC is more favoured at higher pH &gt;2. A CMC-Chitosan stabilised Pickering emulsion system was successfully applied in the encapsulation of Vitamin E. </w:t>
      </w:r>
    </w:p>
    <w:p w:rsidR="004E3835" w:rsidRDefault="004E3835" w:rsidP="004E3835">
      <w:pPr>
        <w:spacing w:after="204" w:line="360" w:lineRule="auto"/>
        <w:ind w:left="142" w:right="44" w:firstLine="0"/>
        <w:rPr>
          <w:rFonts w:ascii="Arial" w:hAnsi="Arial" w:cs="Arial"/>
          <w:color w:val="auto"/>
          <w:sz w:val="22"/>
        </w:rPr>
      </w:pPr>
      <w:r w:rsidRPr="004E3835">
        <w:rPr>
          <w:rFonts w:ascii="Arial" w:hAnsi="Arial" w:cs="Arial"/>
          <w:b/>
          <w:i/>
          <w:color w:val="auto"/>
          <w:sz w:val="22"/>
        </w:rPr>
        <w:t>Keywords</w:t>
      </w:r>
      <w:r w:rsidRPr="004E3835">
        <w:rPr>
          <w:rFonts w:ascii="Arial" w:hAnsi="Arial" w:cs="Arial"/>
          <w:b/>
          <w:color w:val="auto"/>
          <w:sz w:val="22"/>
        </w:rPr>
        <w:t xml:space="preserve">: </w:t>
      </w:r>
      <w:r w:rsidRPr="004E3835">
        <w:rPr>
          <w:rFonts w:ascii="Arial" w:hAnsi="Arial" w:cs="Arial"/>
          <w:color w:val="auto"/>
          <w:sz w:val="22"/>
        </w:rPr>
        <w:t>Cellulose, Chitosan, Hofmeister, Pickering emulsion, Vitamin E.</w:t>
      </w:r>
    </w:p>
    <w:p w:rsidR="00AB36C8" w:rsidRDefault="00AB36C8" w:rsidP="004E3835">
      <w:pPr>
        <w:spacing w:after="204" w:line="360" w:lineRule="auto"/>
        <w:ind w:left="142" w:right="44" w:firstLine="0"/>
        <w:rPr>
          <w:rFonts w:ascii="Arial" w:hAnsi="Arial" w:cs="Arial"/>
          <w:color w:val="auto"/>
          <w:sz w:val="22"/>
        </w:rPr>
      </w:pPr>
    </w:p>
    <w:p w:rsidR="00AB36C8" w:rsidRPr="004E3835" w:rsidRDefault="00AB36C8" w:rsidP="004E3835">
      <w:pPr>
        <w:spacing w:after="204" w:line="360" w:lineRule="auto"/>
        <w:ind w:left="142" w:right="44" w:firstLine="0"/>
        <w:rPr>
          <w:rFonts w:ascii="Arial" w:hAnsi="Arial" w:cs="Arial"/>
          <w:color w:val="auto"/>
          <w:sz w:val="22"/>
        </w:rPr>
      </w:pPr>
      <w:r>
        <w:rPr>
          <w:rFonts w:ascii="Arial" w:hAnsi="Arial" w:cs="Arial"/>
          <w:color w:val="auto"/>
          <w:sz w:val="22"/>
        </w:rPr>
        <w:t>References</w:t>
      </w:r>
    </w:p>
    <w:p w:rsidR="00AB36C8" w:rsidRPr="00AB36C8" w:rsidRDefault="00AB36C8" w:rsidP="00AB36C8">
      <w:pPr>
        <w:pStyle w:val="ListParagraph"/>
        <w:numPr>
          <w:ilvl w:val="0"/>
          <w:numId w:val="1"/>
        </w:numPr>
        <w:spacing w:line="360" w:lineRule="auto"/>
        <w:ind w:right="44"/>
        <w:rPr>
          <w:rFonts w:ascii="Arial" w:hAnsi="Arial" w:cs="Arial"/>
          <w:color w:val="auto"/>
          <w:sz w:val="20"/>
          <w:szCs w:val="20"/>
        </w:rPr>
      </w:pPr>
      <w:r w:rsidRPr="00AB36C8">
        <w:rPr>
          <w:rFonts w:ascii="Arial" w:hAnsi="Arial" w:cs="Arial"/>
          <w:color w:val="auto"/>
          <w:sz w:val="20"/>
          <w:szCs w:val="20"/>
        </w:rPr>
        <w:t xml:space="preserve">Lawal, O. S. (2009). Specific ion effect on emulsion, foams and gels of a seed protein. </w:t>
      </w:r>
      <w:r w:rsidRPr="00AB36C8">
        <w:rPr>
          <w:rFonts w:ascii="Arial" w:hAnsi="Arial" w:cs="Arial"/>
          <w:i/>
          <w:color w:val="auto"/>
          <w:sz w:val="20"/>
          <w:szCs w:val="20"/>
        </w:rPr>
        <w:t xml:space="preserve">Food </w:t>
      </w:r>
      <w:proofErr w:type="spellStart"/>
      <w:r w:rsidRPr="00AB36C8">
        <w:rPr>
          <w:rFonts w:ascii="Arial" w:hAnsi="Arial" w:cs="Arial"/>
          <w:i/>
          <w:color w:val="auto"/>
          <w:sz w:val="20"/>
          <w:szCs w:val="20"/>
        </w:rPr>
        <w:t>Biophys</w:t>
      </w:r>
      <w:proofErr w:type="spellEnd"/>
      <w:r w:rsidRPr="00AB36C8">
        <w:rPr>
          <w:rFonts w:ascii="Arial" w:hAnsi="Arial" w:cs="Arial"/>
          <w:i/>
          <w:color w:val="auto"/>
          <w:sz w:val="20"/>
          <w:szCs w:val="20"/>
        </w:rPr>
        <w:t>,</w:t>
      </w:r>
      <w:r w:rsidRPr="00AB36C8">
        <w:rPr>
          <w:rFonts w:ascii="Arial" w:hAnsi="Arial" w:cs="Arial"/>
          <w:color w:val="auto"/>
          <w:sz w:val="20"/>
          <w:szCs w:val="20"/>
        </w:rPr>
        <w:t xml:space="preserve"> 4, 347-352. </w:t>
      </w:r>
    </w:p>
    <w:p w:rsidR="00AB36C8" w:rsidRPr="00AB36C8" w:rsidRDefault="00AB36C8" w:rsidP="00AB36C8">
      <w:pPr>
        <w:spacing w:line="360" w:lineRule="auto"/>
        <w:ind w:left="1340" w:right="44" w:firstLine="0"/>
        <w:rPr>
          <w:rFonts w:ascii="Arial" w:hAnsi="Arial" w:cs="Arial"/>
          <w:color w:val="auto"/>
          <w:sz w:val="20"/>
          <w:szCs w:val="20"/>
        </w:rPr>
      </w:pPr>
    </w:p>
    <w:p w:rsidR="00AB36C8" w:rsidRPr="00AB36C8" w:rsidRDefault="00AB36C8" w:rsidP="00AB36C8">
      <w:pPr>
        <w:pStyle w:val="ListParagraph"/>
        <w:numPr>
          <w:ilvl w:val="0"/>
          <w:numId w:val="1"/>
        </w:numPr>
        <w:spacing w:line="360" w:lineRule="auto"/>
        <w:ind w:right="44"/>
        <w:rPr>
          <w:rFonts w:ascii="Arial" w:hAnsi="Arial" w:cs="Arial"/>
          <w:color w:val="auto"/>
          <w:sz w:val="20"/>
          <w:szCs w:val="20"/>
        </w:rPr>
      </w:pPr>
      <w:proofErr w:type="spellStart"/>
      <w:r w:rsidRPr="00AB36C8">
        <w:rPr>
          <w:rFonts w:ascii="Arial" w:hAnsi="Arial" w:cs="Arial"/>
          <w:color w:val="auto"/>
          <w:sz w:val="20"/>
          <w:szCs w:val="20"/>
        </w:rPr>
        <w:t>Sodeinde</w:t>
      </w:r>
      <w:proofErr w:type="spellEnd"/>
      <w:r w:rsidRPr="00AB36C8">
        <w:rPr>
          <w:rFonts w:ascii="Arial" w:hAnsi="Arial" w:cs="Arial"/>
          <w:color w:val="auto"/>
          <w:sz w:val="20"/>
          <w:szCs w:val="20"/>
        </w:rPr>
        <w:t xml:space="preserve">, K. O., Ojo, A. M., Olusanya, S. O., Ayanda, O. S., Adeoye, A. O., Dada, T. M., Lawal, O. S. (2021). Cellulose isolated from Delonix regia pods: characterisation and application in the encapsulation of vitamin A. </w:t>
      </w:r>
      <w:r w:rsidRPr="00AB36C8">
        <w:rPr>
          <w:rStyle w:val="yrbpuc"/>
          <w:rFonts w:ascii="Arial" w:hAnsi="Arial" w:cs="Arial"/>
          <w:color w:val="70757A"/>
          <w:sz w:val="20"/>
          <w:szCs w:val="20"/>
          <w:shd w:val="clear" w:color="auto" w:fill="FFFFFF"/>
        </w:rPr>
        <w:t> </w:t>
      </w:r>
      <w:r w:rsidRPr="00AB36C8">
        <w:rPr>
          <w:rStyle w:val="whyltd"/>
          <w:rFonts w:ascii="Arial" w:hAnsi="Arial" w:cs="Arial"/>
          <w:i/>
          <w:color w:val="auto"/>
          <w:sz w:val="20"/>
          <w:szCs w:val="20"/>
          <w:shd w:val="clear" w:color="auto" w:fill="FFFFFF"/>
        </w:rPr>
        <w:t>Ind. Crops Prod</w:t>
      </w:r>
      <w:r w:rsidRPr="00AB36C8">
        <w:rPr>
          <w:rFonts w:ascii="Arial" w:hAnsi="Arial" w:cs="Arial"/>
          <w:i/>
          <w:color w:val="auto"/>
          <w:sz w:val="20"/>
          <w:szCs w:val="20"/>
        </w:rPr>
        <w:t>,</w:t>
      </w:r>
      <w:r w:rsidRPr="00AB36C8">
        <w:rPr>
          <w:rFonts w:ascii="Arial" w:hAnsi="Arial" w:cs="Arial"/>
          <w:color w:val="auto"/>
          <w:sz w:val="20"/>
          <w:szCs w:val="20"/>
        </w:rPr>
        <w:t xml:space="preserve"> 160, 113138 </w:t>
      </w:r>
    </w:p>
    <w:p w:rsidR="00AB36C8" w:rsidRPr="00B75E02" w:rsidRDefault="00AB36C8" w:rsidP="00AB36C8">
      <w:pPr>
        <w:spacing w:line="360" w:lineRule="auto"/>
        <w:ind w:left="1340" w:right="44" w:firstLine="0"/>
        <w:rPr>
          <w:color w:val="auto"/>
          <w:szCs w:val="24"/>
        </w:rPr>
      </w:pPr>
    </w:p>
    <w:p w:rsidR="004E3835" w:rsidRDefault="004E3835"/>
    <w:sectPr w:rsidR="004E38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F3BE4"/>
    <w:multiLevelType w:val="hybridMultilevel"/>
    <w:tmpl w:val="0E123110"/>
    <w:lvl w:ilvl="0" w:tplc="AB80DDE4">
      <w:start w:val="1"/>
      <w:numFmt w:val="decimal"/>
      <w:lvlText w:val="(%1)"/>
      <w:lvlJc w:val="left"/>
      <w:pPr>
        <w:ind w:left="1700" w:hanging="360"/>
      </w:pPr>
      <w:rPr>
        <w:rFonts w:hint="default"/>
      </w:rPr>
    </w:lvl>
    <w:lvl w:ilvl="1" w:tplc="20000019" w:tentative="1">
      <w:start w:val="1"/>
      <w:numFmt w:val="lowerLetter"/>
      <w:lvlText w:val="%2."/>
      <w:lvlJc w:val="left"/>
      <w:pPr>
        <w:ind w:left="2420" w:hanging="360"/>
      </w:pPr>
    </w:lvl>
    <w:lvl w:ilvl="2" w:tplc="2000001B" w:tentative="1">
      <w:start w:val="1"/>
      <w:numFmt w:val="lowerRoman"/>
      <w:lvlText w:val="%3."/>
      <w:lvlJc w:val="right"/>
      <w:pPr>
        <w:ind w:left="3140" w:hanging="180"/>
      </w:pPr>
    </w:lvl>
    <w:lvl w:ilvl="3" w:tplc="2000000F" w:tentative="1">
      <w:start w:val="1"/>
      <w:numFmt w:val="decimal"/>
      <w:lvlText w:val="%4."/>
      <w:lvlJc w:val="left"/>
      <w:pPr>
        <w:ind w:left="3860" w:hanging="360"/>
      </w:pPr>
    </w:lvl>
    <w:lvl w:ilvl="4" w:tplc="20000019" w:tentative="1">
      <w:start w:val="1"/>
      <w:numFmt w:val="lowerLetter"/>
      <w:lvlText w:val="%5."/>
      <w:lvlJc w:val="left"/>
      <w:pPr>
        <w:ind w:left="4580" w:hanging="360"/>
      </w:pPr>
    </w:lvl>
    <w:lvl w:ilvl="5" w:tplc="2000001B" w:tentative="1">
      <w:start w:val="1"/>
      <w:numFmt w:val="lowerRoman"/>
      <w:lvlText w:val="%6."/>
      <w:lvlJc w:val="right"/>
      <w:pPr>
        <w:ind w:left="5300" w:hanging="180"/>
      </w:pPr>
    </w:lvl>
    <w:lvl w:ilvl="6" w:tplc="2000000F" w:tentative="1">
      <w:start w:val="1"/>
      <w:numFmt w:val="decimal"/>
      <w:lvlText w:val="%7."/>
      <w:lvlJc w:val="left"/>
      <w:pPr>
        <w:ind w:left="6020" w:hanging="360"/>
      </w:pPr>
    </w:lvl>
    <w:lvl w:ilvl="7" w:tplc="20000019" w:tentative="1">
      <w:start w:val="1"/>
      <w:numFmt w:val="lowerLetter"/>
      <w:lvlText w:val="%8."/>
      <w:lvlJc w:val="left"/>
      <w:pPr>
        <w:ind w:left="6740" w:hanging="360"/>
      </w:pPr>
    </w:lvl>
    <w:lvl w:ilvl="8" w:tplc="2000001B" w:tentative="1">
      <w:start w:val="1"/>
      <w:numFmt w:val="lowerRoman"/>
      <w:lvlText w:val="%9."/>
      <w:lvlJc w:val="right"/>
      <w:pPr>
        <w:ind w:left="7460" w:hanging="180"/>
      </w:pPr>
    </w:lvl>
  </w:abstractNum>
  <w:num w:numId="1" w16cid:durableId="78361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35"/>
    <w:rsid w:val="004E3835"/>
    <w:rsid w:val="00AB36C8"/>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451E"/>
  <w15:chartTrackingRefBased/>
  <w15:docId w15:val="{688986DE-2C81-4967-B6BF-8DC9F4A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35"/>
    <w:pPr>
      <w:spacing w:after="4" w:line="364" w:lineRule="auto"/>
      <w:ind w:left="1350" w:hanging="10"/>
      <w:jc w:val="both"/>
    </w:pPr>
    <w:rPr>
      <w:rFonts w:ascii="Times New Roman" w:eastAsia="Times New Roman" w:hAnsi="Times New Roman" w:cs="Times New Roman"/>
      <w:color w:val="000000"/>
      <w:kern w:val="0"/>
      <w:sz w:val="24"/>
      <w:lang w:val="en-GB" w:eastAsia="en-GB"/>
      <w14:ligatures w14:val="none"/>
    </w:rPr>
  </w:style>
  <w:style w:type="paragraph" w:styleId="Heading4">
    <w:name w:val="heading 4"/>
    <w:next w:val="Normal"/>
    <w:link w:val="Heading4Char"/>
    <w:uiPriority w:val="9"/>
    <w:unhideWhenUsed/>
    <w:qFormat/>
    <w:rsid w:val="004E3835"/>
    <w:pPr>
      <w:keepNext/>
      <w:keepLines/>
      <w:spacing w:after="114"/>
      <w:ind w:left="1350" w:hanging="10"/>
      <w:outlineLvl w:val="3"/>
    </w:pPr>
    <w:rPr>
      <w:rFonts w:ascii="Times New Roman" w:eastAsia="Times New Roman" w:hAnsi="Times New Roman" w:cs="Times New Roman"/>
      <w:i/>
      <w:color w:val="000000"/>
      <w:kern w:val="0"/>
      <w:sz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3835"/>
    <w:rPr>
      <w:rFonts w:ascii="Times New Roman" w:eastAsia="Times New Roman" w:hAnsi="Times New Roman" w:cs="Times New Roman"/>
      <w:i/>
      <w:color w:val="000000"/>
      <w:kern w:val="0"/>
      <w:sz w:val="24"/>
      <w:lang w:val="en-GB" w:eastAsia="en-GB"/>
      <w14:ligatures w14:val="none"/>
    </w:rPr>
  </w:style>
  <w:style w:type="character" w:styleId="Hyperlink">
    <w:name w:val="Hyperlink"/>
    <w:basedOn w:val="DefaultParagraphFont"/>
    <w:uiPriority w:val="99"/>
    <w:unhideWhenUsed/>
    <w:rsid w:val="004E3835"/>
    <w:rPr>
      <w:color w:val="0563C1" w:themeColor="hyperlink"/>
      <w:u w:val="single"/>
    </w:rPr>
  </w:style>
  <w:style w:type="character" w:customStyle="1" w:styleId="yrbpuc">
    <w:name w:val="yrbpuc"/>
    <w:basedOn w:val="DefaultParagraphFont"/>
    <w:rsid w:val="00AB36C8"/>
  </w:style>
  <w:style w:type="character" w:customStyle="1" w:styleId="whyltd">
    <w:name w:val="whyltd"/>
    <w:basedOn w:val="DefaultParagraphFont"/>
    <w:rsid w:val="00AB36C8"/>
  </w:style>
  <w:style w:type="paragraph" w:styleId="ListParagraph">
    <w:name w:val="List Paragraph"/>
    <w:basedOn w:val="Normal"/>
    <w:uiPriority w:val="34"/>
    <w:qFormat/>
    <w:rsid w:val="00AB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ayide.lawal@fuoye.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laidelawal2@yahoo.com</dc:creator>
  <cp:keywords/>
  <dc:description/>
  <cp:lastModifiedBy>laidelawal2@yahoo.com</cp:lastModifiedBy>
  <cp:revision>1</cp:revision>
  <dcterms:created xsi:type="dcterms:W3CDTF">2023-01-26T02:32:00Z</dcterms:created>
  <dcterms:modified xsi:type="dcterms:W3CDTF">2023-01-26T02:51:00Z</dcterms:modified>
</cp:coreProperties>
</file>