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BF3B" w14:textId="77777777" w:rsidR="00730A4F" w:rsidRDefault="002B095B" w:rsidP="00730A4F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Using plant-based c</w:t>
      </w:r>
      <w:r w:rsidRPr="001A665D">
        <w:rPr>
          <w:rFonts w:ascii="Arial" w:hAnsi="Arial" w:cs="Arial"/>
          <w:b/>
          <w:bCs/>
          <w:sz w:val="32"/>
          <w:szCs w:val="32"/>
          <w:lang w:val="en-GB"/>
        </w:rPr>
        <w:t>omplex coacervat</w:t>
      </w:r>
      <w:r>
        <w:rPr>
          <w:rFonts w:ascii="Arial" w:hAnsi="Arial" w:cs="Arial"/>
          <w:b/>
          <w:bCs/>
          <w:sz w:val="32"/>
          <w:szCs w:val="32"/>
          <w:lang w:val="en-GB"/>
        </w:rPr>
        <w:t>es</w:t>
      </w:r>
      <w:r w:rsidRPr="001A665D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to </w:t>
      </w:r>
      <w:r w:rsidRPr="001A665D">
        <w:rPr>
          <w:rFonts w:ascii="Arial" w:hAnsi="Arial" w:cs="Arial"/>
          <w:b/>
          <w:bCs/>
          <w:sz w:val="32"/>
          <w:szCs w:val="32"/>
          <w:lang w:val="en-GB"/>
        </w:rPr>
        <w:t>encapsulat</w:t>
      </w:r>
      <w:r>
        <w:rPr>
          <w:rFonts w:ascii="Arial" w:hAnsi="Arial" w:cs="Arial"/>
          <w:b/>
          <w:bCs/>
          <w:sz w:val="32"/>
          <w:szCs w:val="32"/>
          <w:lang w:val="en-GB"/>
        </w:rPr>
        <w:t>e</w:t>
      </w:r>
      <w:r w:rsidRPr="001A665D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GB"/>
        </w:rPr>
        <w:t xml:space="preserve">probiotic cells in </w:t>
      </w:r>
      <w:r>
        <w:rPr>
          <w:rFonts w:ascii="Arial" w:hAnsi="Arial" w:cs="Arial"/>
          <w:b/>
          <w:bCs/>
          <w:sz w:val="32"/>
          <w:szCs w:val="32"/>
          <w:lang w:val="en-US"/>
        </w:rPr>
        <w:t>bakery products</w:t>
      </w:r>
    </w:p>
    <w:p w14:paraId="3B150750" w14:textId="77777777" w:rsidR="00730A4F" w:rsidRPr="003350C3" w:rsidRDefault="00730A4F">
      <w:pPr>
        <w:jc w:val="both"/>
        <w:rPr>
          <w:sz w:val="24"/>
          <w:szCs w:val="24"/>
          <w:lang w:val="en-US"/>
        </w:rPr>
      </w:pPr>
    </w:p>
    <w:p w14:paraId="30C654FA" w14:textId="77777777" w:rsidR="00730A4F" w:rsidRPr="007A70A2" w:rsidRDefault="00730A4F" w:rsidP="00730A4F">
      <w:pPr>
        <w:jc w:val="both"/>
        <w:rPr>
          <w:sz w:val="24"/>
          <w:szCs w:val="24"/>
          <w:lang w:val="en-US"/>
        </w:rPr>
      </w:pPr>
      <w:r w:rsidRPr="001A665D">
        <w:rPr>
          <w:sz w:val="24"/>
          <w:szCs w:val="24"/>
          <w:lang w:val="en-GB"/>
        </w:rPr>
        <w:t>P Prodromidis</w:t>
      </w:r>
      <w:r w:rsidRPr="001A665D">
        <w:rPr>
          <w:sz w:val="24"/>
          <w:szCs w:val="24"/>
          <w:vertAlign w:val="superscript"/>
          <w:lang w:val="en-GB"/>
        </w:rPr>
        <w:t>1</w:t>
      </w:r>
      <w:r w:rsidRPr="001A665D">
        <w:rPr>
          <w:sz w:val="24"/>
          <w:szCs w:val="24"/>
          <w:lang w:val="en-GB"/>
        </w:rPr>
        <w:t>, V Stylidou</w:t>
      </w:r>
      <w:r w:rsidRPr="001A665D">
        <w:rPr>
          <w:sz w:val="24"/>
          <w:szCs w:val="24"/>
          <w:vertAlign w:val="superscript"/>
          <w:lang w:val="en-GB"/>
        </w:rPr>
        <w:t>1</w:t>
      </w:r>
      <w:r w:rsidRPr="001A665D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US"/>
        </w:rPr>
        <w:t xml:space="preserve"> E Tsiligianni</w:t>
      </w:r>
      <w:r w:rsidR="00A67207" w:rsidRPr="00840E5E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,</w:t>
      </w:r>
      <w:r w:rsidR="00123FCA">
        <w:rPr>
          <w:sz w:val="24"/>
          <w:szCs w:val="24"/>
          <w:lang w:val="en-US"/>
        </w:rPr>
        <w:t xml:space="preserve"> IK Lappa</w:t>
      </w:r>
      <w:r w:rsidR="00123FCA" w:rsidRPr="003350C3">
        <w:rPr>
          <w:sz w:val="24"/>
          <w:szCs w:val="24"/>
          <w:vertAlign w:val="superscript"/>
          <w:lang w:val="en-US"/>
        </w:rPr>
        <w:t>2</w:t>
      </w:r>
      <w:r w:rsidR="00123FCA">
        <w:rPr>
          <w:sz w:val="24"/>
          <w:szCs w:val="24"/>
          <w:lang w:val="en-US"/>
        </w:rPr>
        <w:t>,</w:t>
      </w:r>
      <w:r w:rsidRPr="001A665D">
        <w:rPr>
          <w:sz w:val="24"/>
          <w:szCs w:val="24"/>
          <w:lang w:val="en-GB"/>
        </w:rPr>
        <w:t xml:space="preserve"> D Dimitrellou</w:t>
      </w:r>
      <w:r w:rsidRPr="001A665D">
        <w:rPr>
          <w:sz w:val="24"/>
          <w:szCs w:val="24"/>
          <w:vertAlign w:val="superscript"/>
          <w:lang w:val="en-GB"/>
        </w:rPr>
        <w:t>2</w:t>
      </w:r>
      <w:r w:rsidRPr="001A665D">
        <w:rPr>
          <w:sz w:val="24"/>
          <w:szCs w:val="24"/>
          <w:lang w:val="en-GB"/>
        </w:rPr>
        <w:t>, P Kandylis</w:t>
      </w:r>
      <w:r w:rsidRPr="001A665D">
        <w:rPr>
          <w:sz w:val="24"/>
          <w:szCs w:val="24"/>
          <w:vertAlign w:val="superscript"/>
          <w:lang w:val="en-GB"/>
        </w:rPr>
        <w:t>1,2</w:t>
      </w:r>
      <w:r w:rsidR="007A70A2" w:rsidRPr="007A70A2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GB"/>
        </w:rPr>
        <w:t xml:space="preserve"> </w:t>
      </w:r>
      <w:r w:rsidRPr="001A665D">
        <w:rPr>
          <w:sz w:val="24"/>
          <w:szCs w:val="24"/>
          <w:lang w:val="en-GB"/>
        </w:rPr>
        <w:t>T Moschakis</w:t>
      </w:r>
      <w:r w:rsidRPr="001A665D">
        <w:rPr>
          <w:sz w:val="24"/>
          <w:szCs w:val="24"/>
          <w:vertAlign w:val="superscript"/>
          <w:lang w:val="en-GB"/>
        </w:rPr>
        <w:t>1</w:t>
      </w:r>
      <w:r w:rsidR="007A70A2">
        <w:rPr>
          <w:sz w:val="24"/>
          <w:szCs w:val="24"/>
          <w:lang w:val="en-US"/>
        </w:rPr>
        <w:t>, and CG Biliaderis</w:t>
      </w:r>
    </w:p>
    <w:p w14:paraId="43B6D2F0" w14:textId="77777777" w:rsidR="00DB5DA7" w:rsidRPr="007A70A2" w:rsidRDefault="00DB5DA7">
      <w:pPr>
        <w:jc w:val="both"/>
        <w:rPr>
          <w:sz w:val="24"/>
          <w:szCs w:val="24"/>
          <w:lang w:val="en-US"/>
        </w:rPr>
      </w:pPr>
    </w:p>
    <w:p w14:paraId="57C70C0A" w14:textId="77777777" w:rsidR="00730A4F" w:rsidRPr="00916CDA" w:rsidRDefault="00730A4F" w:rsidP="00730A4F">
      <w:pPr>
        <w:jc w:val="both"/>
        <w:rPr>
          <w:i/>
          <w:iCs/>
          <w:sz w:val="24"/>
          <w:szCs w:val="24"/>
          <w:lang w:val="en-US"/>
        </w:rPr>
      </w:pPr>
      <w:r w:rsidRPr="00060B57">
        <w:rPr>
          <w:i/>
          <w:iCs/>
          <w:sz w:val="24"/>
          <w:szCs w:val="24"/>
          <w:vertAlign w:val="superscript"/>
          <w:lang w:val="en-GB"/>
        </w:rPr>
        <w:t>1</w:t>
      </w:r>
      <w:r w:rsidRPr="00060B57">
        <w:rPr>
          <w:i/>
          <w:iCs/>
          <w:sz w:val="24"/>
          <w:szCs w:val="24"/>
          <w:lang w:val="en-GB"/>
        </w:rPr>
        <w:t>Department of Food Science and Technology, School of Agriculture, Aristotle University of Thessaloniki, P.O. Box 235, 54124 Thessaloniki, Greece</w:t>
      </w:r>
    </w:p>
    <w:p w14:paraId="0A25C715" w14:textId="77777777" w:rsidR="00730A4F" w:rsidRPr="00060B57" w:rsidRDefault="00730A4F" w:rsidP="00730A4F">
      <w:pPr>
        <w:jc w:val="both"/>
        <w:rPr>
          <w:i/>
          <w:iCs/>
          <w:sz w:val="24"/>
          <w:szCs w:val="24"/>
          <w:lang w:val="en-US"/>
        </w:rPr>
      </w:pPr>
      <w:r w:rsidRPr="00060B57">
        <w:rPr>
          <w:i/>
          <w:iCs/>
          <w:sz w:val="24"/>
          <w:szCs w:val="24"/>
          <w:vertAlign w:val="superscript"/>
          <w:lang w:val="en-US"/>
        </w:rPr>
        <w:t>2</w:t>
      </w:r>
      <w:r w:rsidRPr="00060B57">
        <w:rPr>
          <w:i/>
          <w:iCs/>
          <w:sz w:val="24"/>
          <w:szCs w:val="24"/>
          <w:lang w:val="en-US"/>
        </w:rPr>
        <w:t xml:space="preserve">Department of Food Science and Technology, Ionian University, 28100 </w:t>
      </w:r>
      <w:proofErr w:type="spellStart"/>
      <w:r w:rsidRPr="00060B57">
        <w:rPr>
          <w:i/>
          <w:iCs/>
          <w:sz w:val="24"/>
          <w:szCs w:val="24"/>
          <w:lang w:val="en-US"/>
        </w:rPr>
        <w:t>Argostoli</w:t>
      </w:r>
      <w:proofErr w:type="spellEnd"/>
      <w:r w:rsidRPr="00060B57">
        <w:rPr>
          <w:i/>
          <w:iCs/>
          <w:sz w:val="24"/>
          <w:szCs w:val="24"/>
          <w:lang w:val="en-US"/>
        </w:rPr>
        <w:t>, Kefalonia, Greece</w:t>
      </w:r>
    </w:p>
    <w:p w14:paraId="6653363C" w14:textId="77777777" w:rsidR="00DB5DA7" w:rsidRPr="00916CDA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21549230" w14:textId="444690D0" w:rsidR="00204AD1" w:rsidRPr="00863BF9" w:rsidRDefault="00730A4F" w:rsidP="002B095B">
      <w:pPr>
        <w:pStyle w:val="BodyText"/>
        <w:jc w:val="both"/>
        <w:rPr>
          <w:sz w:val="22"/>
          <w:szCs w:val="22"/>
          <w:lang w:val="en-US"/>
        </w:rPr>
      </w:pPr>
      <w:bookmarkStart w:id="0" w:name="_Hlk124846110"/>
      <w:r w:rsidRPr="00730A4F">
        <w:rPr>
          <w:sz w:val="22"/>
          <w:szCs w:val="22"/>
          <w:lang w:val="en-US"/>
        </w:rPr>
        <w:t xml:space="preserve">In recent </w:t>
      </w:r>
      <w:r w:rsidRPr="00C72F77">
        <w:rPr>
          <w:sz w:val="22"/>
          <w:szCs w:val="22"/>
          <w:lang w:val="en-US"/>
        </w:rPr>
        <w:t>years, functional foods</w:t>
      </w:r>
      <w:r w:rsidR="0067532E">
        <w:rPr>
          <w:sz w:val="22"/>
          <w:szCs w:val="22"/>
          <w:lang w:val="en-US"/>
        </w:rPr>
        <w:t xml:space="preserve">, especially </w:t>
      </w:r>
      <w:r w:rsidR="0067532E" w:rsidRPr="00C72F77">
        <w:rPr>
          <w:sz w:val="22"/>
          <w:szCs w:val="22"/>
          <w:lang w:val="en-US"/>
        </w:rPr>
        <w:t>those contain</w:t>
      </w:r>
      <w:r w:rsidR="0067532E">
        <w:rPr>
          <w:sz w:val="22"/>
          <w:szCs w:val="22"/>
          <w:lang w:val="en-US"/>
        </w:rPr>
        <w:t>ing</w:t>
      </w:r>
      <w:r w:rsidR="0067532E" w:rsidRPr="00C72F77">
        <w:rPr>
          <w:sz w:val="22"/>
          <w:szCs w:val="22"/>
          <w:lang w:val="en-US"/>
        </w:rPr>
        <w:t xml:space="preserve"> probiotic microorganisms</w:t>
      </w:r>
      <w:r w:rsidR="0067532E">
        <w:rPr>
          <w:sz w:val="22"/>
          <w:szCs w:val="22"/>
          <w:lang w:val="en-US"/>
        </w:rPr>
        <w:t xml:space="preserve">, </w:t>
      </w:r>
      <w:r w:rsidR="002B095B">
        <w:rPr>
          <w:sz w:val="22"/>
          <w:szCs w:val="22"/>
          <w:lang w:val="en-US"/>
        </w:rPr>
        <w:t>have been gaining</w:t>
      </w:r>
      <w:r w:rsidR="0067532E">
        <w:rPr>
          <w:sz w:val="22"/>
          <w:szCs w:val="22"/>
          <w:lang w:val="en-US"/>
        </w:rPr>
        <w:t xml:space="preserve"> consumers’ interest</w:t>
      </w:r>
      <w:r w:rsidRPr="00C72F77">
        <w:rPr>
          <w:sz w:val="22"/>
          <w:szCs w:val="22"/>
          <w:lang w:val="en-US"/>
        </w:rPr>
        <w:t>.</w:t>
      </w:r>
      <w:r w:rsidR="00291D46" w:rsidRPr="00C72F77">
        <w:rPr>
          <w:sz w:val="22"/>
          <w:szCs w:val="22"/>
          <w:lang w:val="en-US"/>
        </w:rPr>
        <w:t xml:space="preserve"> </w:t>
      </w:r>
      <w:r w:rsidR="0067532E">
        <w:rPr>
          <w:sz w:val="22"/>
          <w:szCs w:val="22"/>
          <w:lang w:val="en-US"/>
        </w:rPr>
        <w:t>However</w:t>
      </w:r>
      <w:r w:rsidR="00291D46" w:rsidRPr="00C72F77">
        <w:rPr>
          <w:sz w:val="22"/>
          <w:szCs w:val="22"/>
          <w:lang w:val="en-US"/>
        </w:rPr>
        <w:t xml:space="preserve">, probiotics are extremely sensitive </w:t>
      </w:r>
      <w:r w:rsidR="00916CDA">
        <w:rPr>
          <w:sz w:val="22"/>
          <w:szCs w:val="22"/>
          <w:lang w:val="en-US"/>
        </w:rPr>
        <w:t xml:space="preserve">to </w:t>
      </w:r>
      <w:r w:rsidR="00291D46" w:rsidRPr="00C72F77">
        <w:rPr>
          <w:sz w:val="22"/>
          <w:szCs w:val="22"/>
          <w:lang w:val="en-US"/>
        </w:rPr>
        <w:t>processing conditions</w:t>
      </w:r>
      <w:r w:rsidR="00CC2244">
        <w:rPr>
          <w:sz w:val="22"/>
          <w:szCs w:val="22"/>
          <w:lang w:val="en-US"/>
        </w:rPr>
        <w:t xml:space="preserve"> employed in food industry</w:t>
      </w:r>
      <w:r w:rsidR="00736AAD" w:rsidRPr="00736AAD">
        <w:rPr>
          <w:sz w:val="22"/>
          <w:szCs w:val="22"/>
          <w:vertAlign w:val="superscript"/>
          <w:lang w:val="en-US"/>
        </w:rPr>
        <w:t>2</w:t>
      </w:r>
      <w:r w:rsidR="0067532E">
        <w:rPr>
          <w:sz w:val="22"/>
          <w:szCs w:val="22"/>
          <w:lang w:val="en-US"/>
        </w:rPr>
        <w:t xml:space="preserve"> and</w:t>
      </w:r>
      <w:r w:rsidR="00291D46" w:rsidRPr="00C72F77">
        <w:rPr>
          <w:sz w:val="22"/>
          <w:szCs w:val="22"/>
          <w:lang w:val="en-US"/>
        </w:rPr>
        <w:t xml:space="preserve"> therefore it is </w:t>
      </w:r>
      <w:r w:rsidR="00CC2244">
        <w:rPr>
          <w:sz w:val="22"/>
          <w:szCs w:val="22"/>
          <w:lang w:val="en-US"/>
        </w:rPr>
        <w:t>necessary</w:t>
      </w:r>
      <w:r w:rsidR="00291D46" w:rsidRPr="00C72F77">
        <w:rPr>
          <w:sz w:val="22"/>
          <w:szCs w:val="22"/>
          <w:lang w:val="en-US"/>
        </w:rPr>
        <w:t xml:space="preserve"> to develop systems </w:t>
      </w:r>
      <w:r w:rsidR="0067532E">
        <w:rPr>
          <w:sz w:val="22"/>
          <w:szCs w:val="22"/>
          <w:lang w:val="en-US"/>
        </w:rPr>
        <w:t xml:space="preserve">to </w:t>
      </w:r>
      <w:r w:rsidR="00CC2244">
        <w:rPr>
          <w:sz w:val="22"/>
          <w:szCs w:val="22"/>
          <w:lang w:val="en-US"/>
        </w:rPr>
        <w:t>enhance their viability</w:t>
      </w:r>
      <w:r w:rsidR="00291D46" w:rsidRPr="00C72F77">
        <w:rPr>
          <w:sz w:val="22"/>
          <w:szCs w:val="22"/>
          <w:lang w:val="en-US"/>
        </w:rPr>
        <w:t xml:space="preserve">. </w:t>
      </w:r>
      <w:r w:rsidR="00CC2244">
        <w:rPr>
          <w:sz w:val="22"/>
          <w:szCs w:val="22"/>
          <w:lang w:val="en-US"/>
        </w:rPr>
        <w:t>The</w:t>
      </w:r>
      <w:r w:rsidRPr="00C72F77">
        <w:rPr>
          <w:sz w:val="22"/>
          <w:szCs w:val="22"/>
          <w:lang w:val="en-US"/>
        </w:rPr>
        <w:t xml:space="preserve">re are </w:t>
      </w:r>
      <w:r w:rsidR="002B6F68" w:rsidRPr="00C72F77">
        <w:rPr>
          <w:sz w:val="22"/>
          <w:szCs w:val="22"/>
          <w:lang w:val="en-US"/>
        </w:rPr>
        <w:t xml:space="preserve">many </w:t>
      </w:r>
      <w:r w:rsidRPr="00C72F77">
        <w:rPr>
          <w:sz w:val="22"/>
          <w:szCs w:val="22"/>
          <w:lang w:val="en-US"/>
        </w:rPr>
        <w:t xml:space="preserve">microencapsulation </w:t>
      </w:r>
      <w:r w:rsidR="00CC2244">
        <w:rPr>
          <w:sz w:val="22"/>
          <w:szCs w:val="22"/>
          <w:lang w:val="en-US"/>
        </w:rPr>
        <w:t>systems</w:t>
      </w:r>
      <w:r w:rsidRPr="00C72F77">
        <w:rPr>
          <w:sz w:val="22"/>
          <w:szCs w:val="22"/>
          <w:lang w:val="en-US"/>
        </w:rPr>
        <w:t xml:space="preserve"> </w:t>
      </w:r>
      <w:r w:rsidR="00CC2244">
        <w:rPr>
          <w:sz w:val="22"/>
          <w:szCs w:val="22"/>
          <w:lang w:val="en-US"/>
        </w:rPr>
        <w:t xml:space="preserve">involving </w:t>
      </w:r>
      <w:r w:rsidRPr="00C72F77">
        <w:rPr>
          <w:sz w:val="22"/>
          <w:szCs w:val="22"/>
          <w:lang w:val="en-US"/>
        </w:rPr>
        <w:t xml:space="preserve">animal proteins, </w:t>
      </w:r>
      <w:r w:rsidR="009E6CFB">
        <w:rPr>
          <w:sz w:val="22"/>
          <w:szCs w:val="22"/>
          <w:lang w:val="en-US"/>
        </w:rPr>
        <w:t xml:space="preserve">however, </w:t>
      </w:r>
      <w:r w:rsidRPr="00C72F77">
        <w:rPr>
          <w:sz w:val="22"/>
          <w:szCs w:val="22"/>
          <w:lang w:val="en-US"/>
        </w:rPr>
        <w:t>there is a growing demand for plant-based protein alternatives</w:t>
      </w:r>
      <w:r w:rsidR="00865EDF" w:rsidRPr="00C72F77">
        <w:rPr>
          <w:sz w:val="22"/>
          <w:szCs w:val="22"/>
          <w:vertAlign w:val="superscript"/>
          <w:lang w:val="en-US"/>
        </w:rPr>
        <w:t>1</w:t>
      </w:r>
      <w:r w:rsidRPr="00C72F77">
        <w:rPr>
          <w:sz w:val="22"/>
          <w:szCs w:val="22"/>
          <w:lang w:val="en-US"/>
        </w:rPr>
        <w:t xml:space="preserve">. </w:t>
      </w:r>
      <w:r w:rsidR="002B095B">
        <w:rPr>
          <w:sz w:val="22"/>
          <w:szCs w:val="22"/>
          <w:lang w:val="en-US"/>
        </w:rPr>
        <w:t>T</w:t>
      </w:r>
      <w:r w:rsidRPr="00730A4F">
        <w:rPr>
          <w:sz w:val="22"/>
          <w:szCs w:val="22"/>
          <w:lang w:val="en-US"/>
        </w:rPr>
        <w:t xml:space="preserve">he aim of this study was the selection of appropriate </w:t>
      </w:r>
      <w:r w:rsidR="002B095B">
        <w:rPr>
          <w:sz w:val="22"/>
          <w:szCs w:val="22"/>
          <w:lang w:val="en-US"/>
        </w:rPr>
        <w:t>biopolymer</w:t>
      </w:r>
      <w:r w:rsidR="009E6CFB">
        <w:rPr>
          <w:sz w:val="22"/>
          <w:szCs w:val="22"/>
          <w:lang w:val="en-US"/>
        </w:rPr>
        <w:t>s</w:t>
      </w:r>
      <w:r w:rsidR="00916CDA">
        <w:rPr>
          <w:sz w:val="22"/>
          <w:szCs w:val="22"/>
          <w:lang w:val="en-US"/>
        </w:rPr>
        <w:t xml:space="preserve"> - </w:t>
      </w:r>
      <w:r w:rsidRPr="00730A4F">
        <w:rPr>
          <w:sz w:val="22"/>
          <w:szCs w:val="22"/>
          <w:lang w:val="en-US"/>
        </w:rPr>
        <w:t>proteins and polysaccharides</w:t>
      </w:r>
      <w:r w:rsidR="00916CDA">
        <w:rPr>
          <w:sz w:val="22"/>
          <w:szCs w:val="22"/>
          <w:lang w:val="en-US"/>
        </w:rPr>
        <w:t xml:space="preserve"> - </w:t>
      </w:r>
      <w:r w:rsidR="002B095B">
        <w:rPr>
          <w:sz w:val="22"/>
          <w:szCs w:val="22"/>
          <w:lang w:val="en-US"/>
        </w:rPr>
        <w:t>to form</w:t>
      </w:r>
      <w:r w:rsidRPr="00730A4F">
        <w:rPr>
          <w:sz w:val="22"/>
          <w:szCs w:val="22"/>
          <w:lang w:val="en-US"/>
        </w:rPr>
        <w:t xml:space="preserve"> complex coacervat</w:t>
      </w:r>
      <w:r w:rsidR="002B095B">
        <w:rPr>
          <w:sz w:val="22"/>
          <w:szCs w:val="22"/>
          <w:lang w:val="en-US"/>
        </w:rPr>
        <w:t>es</w:t>
      </w:r>
      <w:r w:rsidRPr="00730A4F">
        <w:rPr>
          <w:sz w:val="22"/>
          <w:szCs w:val="22"/>
          <w:lang w:val="en-US"/>
        </w:rPr>
        <w:t xml:space="preserve"> </w:t>
      </w:r>
      <w:r w:rsidR="002B095B">
        <w:rPr>
          <w:sz w:val="22"/>
          <w:szCs w:val="22"/>
          <w:lang w:val="en-US"/>
        </w:rPr>
        <w:t>and to incorporate them in</w:t>
      </w:r>
      <w:r w:rsidRPr="00730A4F">
        <w:rPr>
          <w:sz w:val="22"/>
          <w:szCs w:val="22"/>
          <w:lang w:val="en-US"/>
        </w:rPr>
        <w:t xml:space="preserve"> </w:t>
      </w:r>
      <w:r w:rsidR="002B095B">
        <w:rPr>
          <w:sz w:val="22"/>
          <w:szCs w:val="22"/>
          <w:lang w:val="en-US"/>
        </w:rPr>
        <w:t>gel microspheres (</w:t>
      </w:r>
      <w:r w:rsidRPr="00730A4F">
        <w:rPr>
          <w:sz w:val="22"/>
          <w:szCs w:val="22"/>
          <w:lang w:val="en-US"/>
        </w:rPr>
        <w:t>beads</w:t>
      </w:r>
      <w:r w:rsidR="002B095B">
        <w:rPr>
          <w:sz w:val="22"/>
          <w:szCs w:val="22"/>
          <w:lang w:val="en-US"/>
        </w:rPr>
        <w:t>) to enhance the</w:t>
      </w:r>
      <w:r w:rsidR="009E6CFB">
        <w:rPr>
          <w:sz w:val="22"/>
          <w:szCs w:val="22"/>
          <w:lang w:val="en-US"/>
        </w:rPr>
        <w:t xml:space="preserve"> </w:t>
      </w:r>
      <w:r w:rsidR="002B095B">
        <w:rPr>
          <w:sz w:val="22"/>
          <w:szCs w:val="22"/>
          <w:lang w:val="en-US"/>
        </w:rPr>
        <w:t>viability of probiotic cells</w:t>
      </w:r>
      <w:r w:rsidRPr="00730A4F">
        <w:rPr>
          <w:sz w:val="22"/>
          <w:szCs w:val="22"/>
          <w:lang w:val="en-US"/>
        </w:rPr>
        <w:t xml:space="preserve">. The systems that were </w:t>
      </w:r>
      <w:r w:rsidR="002B095B">
        <w:rPr>
          <w:sz w:val="22"/>
          <w:szCs w:val="22"/>
          <w:lang w:val="en-US"/>
        </w:rPr>
        <w:t>studied</w:t>
      </w:r>
      <w:r w:rsidRPr="00730A4F">
        <w:rPr>
          <w:sz w:val="22"/>
          <w:szCs w:val="22"/>
          <w:lang w:val="en-US"/>
        </w:rPr>
        <w:t xml:space="preserve"> as delivery systems </w:t>
      </w:r>
      <w:r w:rsidR="007C3C90">
        <w:rPr>
          <w:sz w:val="22"/>
          <w:szCs w:val="22"/>
          <w:lang w:val="en-US"/>
        </w:rPr>
        <w:t>we</w:t>
      </w:r>
      <w:r w:rsidRPr="00730A4F">
        <w:rPr>
          <w:sz w:val="22"/>
          <w:szCs w:val="22"/>
          <w:lang w:val="en-US"/>
        </w:rPr>
        <w:t>re</w:t>
      </w:r>
      <w:r w:rsidR="00916CDA">
        <w:rPr>
          <w:sz w:val="22"/>
          <w:szCs w:val="22"/>
          <w:lang w:val="en-US"/>
        </w:rPr>
        <w:t>:</w:t>
      </w:r>
      <w:r w:rsidRPr="00730A4F">
        <w:rPr>
          <w:sz w:val="22"/>
          <w:szCs w:val="22"/>
          <w:lang w:val="en-US"/>
        </w:rPr>
        <w:t xml:space="preserve"> </w:t>
      </w:r>
      <w:r w:rsidR="002B095B">
        <w:rPr>
          <w:sz w:val="22"/>
          <w:szCs w:val="22"/>
          <w:lang w:val="en-US"/>
        </w:rPr>
        <w:t xml:space="preserve">a) </w:t>
      </w:r>
      <w:r w:rsidRPr="00730A4F">
        <w:rPr>
          <w:sz w:val="22"/>
          <w:szCs w:val="22"/>
          <w:lang w:val="en-US"/>
        </w:rPr>
        <w:t>potato protein</w:t>
      </w:r>
      <w:r w:rsidR="007C3C90">
        <w:rPr>
          <w:sz w:val="22"/>
          <w:szCs w:val="22"/>
          <w:lang w:val="en-US"/>
        </w:rPr>
        <w:t xml:space="preserve"> </w:t>
      </w:r>
      <w:r w:rsidR="002B095B">
        <w:rPr>
          <w:sz w:val="22"/>
          <w:szCs w:val="22"/>
          <w:lang w:val="en-US"/>
        </w:rPr>
        <w:t>and</w:t>
      </w:r>
      <w:r w:rsidR="007C3C90">
        <w:rPr>
          <w:sz w:val="22"/>
          <w:szCs w:val="22"/>
          <w:lang w:val="en-US"/>
        </w:rPr>
        <w:t xml:space="preserve"> </w:t>
      </w:r>
      <w:r w:rsidR="002B095B">
        <w:rPr>
          <w:sz w:val="22"/>
          <w:szCs w:val="22"/>
          <w:lang w:val="en-US"/>
        </w:rPr>
        <w:t>low</w:t>
      </w:r>
      <w:r w:rsidR="002B095B" w:rsidRPr="002B095B">
        <w:rPr>
          <w:sz w:val="22"/>
          <w:szCs w:val="22"/>
          <w:lang w:val="en-US"/>
        </w:rPr>
        <w:t xml:space="preserve"> </w:t>
      </w:r>
      <w:proofErr w:type="spellStart"/>
      <w:r w:rsidR="002B095B">
        <w:rPr>
          <w:sz w:val="22"/>
          <w:szCs w:val="22"/>
          <w:lang w:val="en-US"/>
        </w:rPr>
        <w:t>methoxyl</w:t>
      </w:r>
      <w:proofErr w:type="spellEnd"/>
      <w:r w:rsidR="002B095B">
        <w:rPr>
          <w:sz w:val="22"/>
          <w:szCs w:val="22"/>
          <w:lang w:val="en-US"/>
        </w:rPr>
        <w:t xml:space="preserve"> </w:t>
      </w:r>
      <w:r w:rsidRPr="00730A4F">
        <w:rPr>
          <w:sz w:val="22"/>
          <w:szCs w:val="22"/>
          <w:lang w:val="en-US"/>
        </w:rPr>
        <w:t>pectin</w:t>
      </w:r>
      <w:r w:rsidR="00916CDA">
        <w:rPr>
          <w:sz w:val="22"/>
          <w:szCs w:val="22"/>
          <w:lang w:val="en-US"/>
        </w:rPr>
        <w:t>;</w:t>
      </w:r>
      <w:r w:rsidR="002B095B">
        <w:rPr>
          <w:sz w:val="22"/>
          <w:szCs w:val="22"/>
          <w:lang w:val="en-US"/>
        </w:rPr>
        <w:t xml:space="preserve"> b)</w:t>
      </w:r>
      <w:r w:rsidRPr="00730A4F">
        <w:rPr>
          <w:sz w:val="22"/>
          <w:szCs w:val="22"/>
          <w:lang w:val="en-US"/>
        </w:rPr>
        <w:t xml:space="preserve"> </w:t>
      </w:r>
      <w:r w:rsidR="007C3C90">
        <w:rPr>
          <w:sz w:val="22"/>
          <w:szCs w:val="22"/>
          <w:lang w:val="en-US"/>
        </w:rPr>
        <w:t>c</w:t>
      </w:r>
      <w:r w:rsidRPr="00730A4F">
        <w:rPr>
          <w:sz w:val="22"/>
          <w:szCs w:val="22"/>
          <w:lang w:val="en-US"/>
        </w:rPr>
        <w:t>hitosan</w:t>
      </w:r>
      <w:r w:rsidR="0046704F">
        <w:rPr>
          <w:sz w:val="22"/>
          <w:szCs w:val="22"/>
          <w:lang w:val="en-US"/>
        </w:rPr>
        <w:t xml:space="preserve"> </w:t>
      </w:r>
      <w:r w:rsidR="002B095B">
        <w:rPr>
          <w:sz w:val="22"/>
          <w:szCs w:val="22"/>
          <w:lang w:val="en-US"/>
        </w:rPr>
        <w:t xml:space="preserve">and gum </w:t>
      </w:r>
      <w:proofErr w:type="spellStart"/>
      <w:r w:rsidR="002B095B">
        <w:rPr>
          <w:sz w:val="22"/>
          <w:szCs w:val="22"/>
          <w:lang w:val="en-US"/>
        </w:rPr>
        <w:t>arabic</w:t>
      </w:r>
      <w:proofErr w:type="spellEnd"/>
      <w:r w:rsidR="00916CDA">
        <w:rPr>
          <w:sz w:val="22"/>
          <w:szCs w:val="22"/>
          <w:lang w:val="en-US"/>
        </w:rPr>
        <w:t>;</w:t>
      </w:r>
      <w:r w:rsidR="002B095B">
        <w:rPr>
          <w:sz w:val="22"/>
          <w:szCs w:val="22"/>
          <w:lang w:val="en-US"/>
        </w:rPr>
        <w:t xml:space="preserve"> </w:t>
      </w:r>
      <w:r w:rsidR="00916CDA">
        <w:rPr>
          <w:sz w:val="22"/>
          <w:szCs w:val="22"/>
          <w:lang w:val="en-US"/>
        </w:rPr>
        <w:t>c</w:t>
      </w:r>
      <w:r w:rsidR="002B095B">
        <w:rPr>
          <w:sz w:val="22"/>
          <w:szCs w:val="22"/>
          <w:lang w:val="en-US"/>
        </w:rPr>
        <w:t>)</w:t>
      </w:r>
      <w:r w:rsidRPr="00730A4F">
        <w:rPr>
          <w:sz w:val="22"/>
          <w:szCs w:val="22"/>
          <w:lang w:val="en-US"/>
        </w:rPr>
        <w:t xml:space="preserve"> </w:t>
      </w:r>
      <w:r w:rsidR="007C3C90">
        <w:rPr>
          <w:sz w:val="22"/>
          <w:szCs w:val="22"/>
          <w:lang w:val="en-US"/>
        </w:rPr>
        <w:t>w</w:t>
      </w:r>
      <w:r w:rsidRPr="00730A4F">
        <w:rPr>
          <w:sz w:val="22"/>
          <w:szCs w:val="22"/>
          <w:lang w:val="en-US"/>
        </w:rPr>
        <w:t>hey protein isolate</w:t>
      </w:r>
      <w:r w:rsidR="00BE4E69">
        <w:rPr>
          <w:sz w:val="22"/>
          <w:szCs w:val="22"/>
          <w:lang w:val="en-US"/>
        </w:rPr>
        <w:t xml:space="preserve"> </w:t>
      </w:r>
      <w:r w:rsidR="002B095B">
        <w:rPr>
          <w:sz w:val="22"/>
          <w:szCs w:val="22"/>
          <w:lang w:val="en-US"/>
        </w:rPr>
        <w:t xml:space="preserve">and gum </w:t>
      </w:r>
      <w:proofErr w:type="spellStart"/>
      <w:r w:rsidR="002B095B">
        <w:rPr>
          <w:sz w:val="22"/>
          <w:szCs w:val="22"/>
          <w:lang w:val="en-US"/>
        </w:rPr>
        <w:t>arabic</w:t>
      </w:r>
      <w:proofErr w:type="spellEnd"/>
      <w:r w:rsidR="00916CDA">
        <w:rPr>
          <w:sz w:val="22"/>
          <w:szCs w:val="22"/>
          <w:lang w:val="en-US"/>
        </w:rPr>
        <w:t>;</w:t>
      </w:r>
      <w:r w:rsidR="002B095B">
        <w:rPr>
          <w:sz w:val="22"/>
          <w:szCs w:val="22"/>
          <w:lang w:val="en-US"/>
        </w:rPr>
        <w:t xml:space="preserve"> and </w:t>
      </w:r>
      <w:r w:rsidR="00916CDA">
        <w:rPr>
          <w:sz w:val="22"/>
          <w:szCs w:val="22"/>
          <w:lang w:val="en-US"/>
        </w:rPr>
        <w:t>d</w:t>
      </w:r>
      <w:r w:rsidR="002B095B">
        <w:rPr>
          <w:sz w:val="22"/>
          <w:szCs w:val="22"/>
          <w:lang w:val="en-US"/>
        </w:rPr>
        <w:t>)</w:t>
      </w:r>
      <w:r w:rsidR="00BE4E69">
        <w:rPr>
          <w:sz w:val="22"/>
          <w:szCs w:val="22"/>
          <w:lang w:val="en-US"/>
        </w:rPr>
        <w:t xml:space="preserve"> </w:t>
      </w:r>
      <w:r w:rsidR="006B44ED" w:rsidRPr="00204AD1">
        <w:rPr>
          <w:sz w:val="22"/>
          <w:szCs w:val="22"/>
          <w:lang w:val="en-US"/>
        </w:rPr>
        <w:t xml:space="preserve">potato protein </w:t>
      </w:r>
      <w:r w:rsidR="009E6CFB">
        <w:rPr>
          <w:sz w:val="22"/>
          <w:szCs w:val="22"/>
          <w:lang w:val="en-US"/>
        </w:rPr>
        <w:t xml:space="preserve">and </w:t>
      </w:r>
      <w:r w:rsidR="006B44ED" w:rsidRPr="00204AD1">
        <w:rPr>
          <w:sz w:val="22"/>
          <w:szCs w:val="22"/>
          <w:lang w:val="en-US"/>
        </w:rPr>
        <w:t>pectin</w:t>
      </w:r>
      <w:r w:rsidR="00863BF9">
        <w:rPr>
          <w:sz w:val="22"/>
          <w:szCs w:val="22"/>
          <w:lang w:val="en-US"/>
        </w:rPr>
        <w:t xml:space="preserve"> complexes </w:t>
      </w:r>
      <w:r w:rsidR="00863BF9" w:rsidRPr="00863BF9">
        <w:rPr>
          <w:sz w:val="22"/>
          <w:szCs w:val="22"/>
          <w:lang w:val="en-US"/>
        </w:rPr>
        <w:t xml:space="preserve">exposed to multivalent cations </w:t>
      </w:r>
      <w:r w:rsidR="00863BF9">
        <w:rPr>
          <w:sz w:val="22"/>
          <w:szCs w:val="22"/>
          <w:lang w:val="en-US"/>
        </w:rPr>
        <w:t>(</w:t>
      </w:r>
      <w:r w:rsidR="006B44ED" w:rsidRPr="002B095B">
        <w:rPr>
          <w:sz w:val="22"/>
          <w:szCs w:val="22"/>
          <w:lang w:val="en-US"/>
        </w:rPr>
        <w:t>CaCl</w:t>
      </w:r>
      <w:r w:rsidR="006B44ED" w:rsidRPr="002B095B">
        <w:rPr>
          <w:sz w:val="22"/>
          <w:szCs w:val="22"/>
          <w:vertAlign w:val="subscript"/>
          <w:lang w:val="en-US"/>
        </w:rPr>
        <w:t>2</w:t>
      </w:r>
      <w:r w:rsidR="00863BF9">
        <w:rPr>
          <w:sz w:val="22"/>
          <w:szCs w:val="22"/>
          <w:lang w:val="en-US"/>
        </w:rPr>
        <w:t xml:space="preserve">) to form </w:t>
      </w:r>
      <w:r w:rsidR="006B44ED" w:rsidRPr="00204AD1">
        <w:rPr>
          <w:sz w:val="22"/>
          <w:szCs w:val="22"/>
          <w:lang w:val="en-US"/>
        </w:rPr>
        <w:t>beads</w:t>
      </w:r>
      <w:r w:rsidR="00A65E97">
        <w:rPr>
          <w:sz w:val="22"/>
          <w:szCs w:val="22"/>
          <w:lang w:val="en-US"/>
        </w:rPr>
        <w:t xml:space="preserve"> (double encapsulation)</w:t>
      </w:r>
      <w:r w:rsidRPr="00204AD1">
        <w:rPr>
          <w:sz w:val="22"/>
          <w:szCs w:val="22"/>
          <w:lang w:val="en-US"/>
        </w:rPr>
        <w:t>.</w:t>
      </w:r>
      <w:r w:rsidR="006B44ED" w:rsidRPr="00204AD1">
        <w:rPr>
          <w:sz w:val="22"/>
          <w:szCs w:val="22"/>
          <w:lang w:val="en-US"/>
        </w:rPr>
        <w:t xml:space="preserve"> Several parameters were examined, such as biopolymer ratio</w:t>
      </w:r>
      <w:r w:rsidR="00863BF9">
        <w:rPr>
          <w:sz w:val="22"/>
          <w:szCs w:val="22"/>
          <w:lang w:val="en-US"/>
        </w:rPr>
        <w:t>,</w:t>
      </w:r>
      <w:r w:rsidR="005D0678" w:rsidRPr="00204AD1">
        <w:rPr>
          <w:sz w:val="22"/>
          <w:szCs w:val="22"/>
          <w:lang w:val="en-US"/>
        </w:rPr>
        <w:t xml:space="preserve"> pH</w:t>
      </w:r>
      <w:r w:rsidR="00863BF9">
        <w:rPr>
          <w:sz w:val="22"/>
          <w:szCs w:val="22"/>
          <w:lang w:val="en-US"/>
        </w:rPr>
        <w:t>, and total biopolymer concentration</w:t>
      </w:r>
      <w:r w:rsidR="005D0678">
        <w:rPr>
          <w:sz w:val="22"/>
          <w:szCs w:val="22"/>
          <w:lang w:val="en-US"/>
        </w:rPr>
        <w:t>. Macroscopic assessment</w:t>
      </w:r>
      <w:r w:rsidR="001A587D">
        <w:rPr>
          <w:sz w:val="22"/>
          <w:szCs w:val="22"/>
          <w:lang w:val="en-US"/>
        </w:rPr>
        <w:t xml:space="preserve"> and</w:t>
      </w:r>
      <w:r w:rsidR="005D0678">
        <w:rPr>
          <w:sz w:val="22"/>
          <w:szCs w:val="22"/>
          <w:lang w:val="en-US"/>
        </w:rPr>
        <w:t xml:space="preserve"> confocal microscopy </w:t>
      </w:r>
      <w:r w:rsidR="001A587D">
        <w:rPr>
          <w:sz w:val="22"/>
          <w:szCs w:val="22"/>
          <w:lang w:val="en-US"/>
        </w:rPr>
        <w:t xml:space="preserve">were employed to assess the optimum </w:t>
      </w:r>
      <w:r w:rsidR="00F76CEB">
        <w:rPr>
          <w:sz w:val="22"/>
          <w:szCs w:val="22"/>
          <w:lang w:val="en-US"/>
        </w:rPr>
        <w:t xml:space="preserve">conditions </w:t>
      </w:r>
      <w:r w:rsidR="001A587D">
        <w:rPr>
          <w:sz w:val="22"/>
          <w:szCs w:val="22"/>
          <w:lang w:val="en-US"/>
        </w:rPr>
        <w:t>for coacervate</w:t>
      </w:r>
      <w:r w:rsidR="00F76CEB">
        <w:rPr>
          <w:sz w:val="22"/>
          <w:szCs w:val="22"/>
          <w:lang w:val="en-US"/>
        </w:rPr>
        <w:t>s</w:t>
      </w:r>
      <w:r w:rsidR="001A587D">
        <w:rPr>
          <w:sz w:val="22"/>
          <w:szCs w:val="22"/>
          <w:lang w:val="en-US"/>
        </w:rPr>
        <w:t xml:space="preserve">/beads </w:t>
      </w:r>
      <w:r w:rsidR="00863BF9">
        <w:rPr>
          <w:sz w:val="22"/>
          <w:szCs w:val="22"/>
          <w:lang w:val="en-US"/>
        </w:rPr>
        <w:t>formation</w:t>
      </w:r>
      <w:r w:rsidR="001A587D">
        <w:rPr>
          <w:sz w:val="22"/>
          <w:szCs w:val="22"/>
          <w:lang w:val="en-US"/>
        </w:rPr>
        <w:t>.</w:t>
      </w:r>
      <w:r w:rsidR="00BE4E69">
        <w:rPr>
          <w:sz w:val="22"/>
          <w:szCs w:val="22"/>
          <w:lang w:val="en-US"/>
        </w:rPr>
        <w:t xml:space="preserve"> </w:t>
      </w:r>
      <w:r w:rsidR="00863BF9">
        <w:rPr>
          <w:sz w:val="22"/>
          <w:szCs w:val="22"/>
          <w:lang w:val="en-US"/>
        </w:rPr>
        <w:t>At</w:t>
      </w:r>
      <w:r w:rsidR="00BE4E69">
        <w:rPr>
          <w:sz w:val="22"/>
          <w:szCs w:val="22"/>
          <w:lang w:val="en-US"/>
        </w:rPr>
        <w:t xml:space="preserve"> the optim</w:t>
      </w:r>
      <w:r w:rsidR="00863BF9">
        <w:rPr>
          <w:sz w:val="22"/>
          <w:szCs w:val="22"/>
          <w:lang w:val="en-US"/>
        </w:rPr>
        <w:t>al conditions</w:t>
      </w:r>
      <w:r w:rsidR="00BE4E69">
        <w:rPr>
          <w:sz w:val="22"/>
          <w:szCs w:val="22"/>
          <w:lang w:val="en-US"/>
        </w:rPr>
        <w:t>, a probiotic strain (</w:t>
      </w:r>
      <w:proofErr w:type="spellStart"/>
      <w:r w:rsidR="00BE4E69" w:rsidRPr="00BE4E69">
        <w:rPr>
          <w:i/>
          <w:iCs/>
          <w:sz w:val="22"/>
          <w:szCs w:val="22"/>
          <w:lang w:val="en-US"/>
        </w:rPr>
        <w:t>Lactiplantibacillus</w:t>
      </w:r>
      <w:proofErr w:type="spellEnd"/>
      <w:r w:rsidR="00BE4E69" w:rsidRPr="00BE4E69">
        <w:rPr>
          <w:i/>
          <w:iCs/>
          <w:sz w:val="22"/>
          <w:szCs w:val="22"/>
          <w:lang w:val="en-US"/>
        </w:rPr>
        <w:t xml:space="preserve"> plantarum </w:t>
      </w:r>
      <w:r w:rsidR="00BE4E69" w:rsidRPr="003350C3">
        <w:rPr>
          <w:iCs/>
          <w:sz w:val="22"/>
          <w:szCs w:val="22"/>
          <w:lang w:val="en-US"/>
        </w:rPr>
        <w:t>2035</w:t>
      </w:r>
      <w:r w:rsidR="00BE4E69">
        <w:rPr>
          <w:sz w:val="22"/>
          <w:szCs w:val="22"/>
          <w:lang w:val="en-US"/>
        </w:rPr>
        <w:t xml:space="preserve">) was </w:t>
      </w:r>
      <w:proofErr w:type="gramStart"/>
      <w:r w:rsidR="00BE4E69">
        <w:rPr>
          <w:sz w:val="22"/>
          <w:szCs w:val="22"/>
          <w:lang w:val="en-US"/>
        </w:rPr>
        <w:t>encapsulated</w:t>
      </w:r>
      <w:proofErr w:type="gramEnd"/>
      <w:r w:rsidR="00BE4E69">
        <w:rPr>
          <w:sz w:val="22"/>
          <w:szCs w:val="22"/>
          <w:lang w:val="en-US"/>
        </w:rPr>
        <w:t xml:space="preserve"> </w:t>
      </w:r>
      <w:r w:rsidR="009E6CFB">
        <w:rPr>
          <w:sz w:val="22"/>
          <w:szCs w:val="22"/>
          <w:lang w:val="en-US"/>
        </w:rPr>
        <w:t>and its</w:t>
      </w:r>
      <w:r w:rsidR="00BE4E69">
        <w:rPr>
          <w:sz w:val="22"/>
          <w:szCs w:val="22"/>
          <w:lang w:val="en-US"/>
        </w:rPr>
        <w:t xml:space="preserve"> viability </w:t>
      </w:r>
      <w:r w:rsidR="009E6CFB">
        <w:rPr>
          <w:sz w:val="22"/>
          <w:szCs w:val="22"/>
          <w:lang w:val="en-US"/>
        </w:rPr>
        <w:t xml:space="preserve">was </w:t>
      </w:r>
      <w:r w:rsidR="00916CDA">
        <w:rPr>
          <w:sz w:val="22"/>
          <w:szCs w:val="22"/>
          <w:lang w:val="en-US"/>
        </w:rPr>
        <w:t xml:space="preserve">assessed </w:t>
      </w:r>
      <w:r w:rsidR="00BE4E69">
        <w:rPr>
          <w:sz w:val="22"/>
          <w:szCs w:val="22"/>
          <w:lang w:val="en-US"/>
        </w:rPr>
        <w:t>under stress conditions (</w:t>
      </w:r>
      <w:r w:rsidR="009E6CFB">
        <w:rPr>
          <w:sz w:val="22"/>
          <w:szCs w:val="22"/>
          <w:lang w:val="en-US"/>
        </w:rPr>
        <w:t xml:space="preserve">low pH, </w:t>
      </w:r>
      <w:r w:rsidR="00BE4E69">
        <w:rPr>
          <w:sz w:val="22"/>
          <w:szCs w:val="22"/>
          <w:lang w:val="en-US"/>
        </w:rPr>
        <w:t>heat treatment</w:t>
      </w:r>
      <w:r w:rsidR="009E6CFB">
        <w:rPr>
          <w:sz w:val="22"/>
          <w:szCs w:val="22"/>
          <w:lang w:val="en-US"/>
        </w:rPr>
        <w:t>,</w:t>
      </w:r>
      <w:r w:rsidR="00F76CEB">
        <w:rPr>
          <w:sz w:val="22"/>
          <w:szCs w:val="22"/>
          <w:lang w:val="en-US"/>
        </w:rPr>
        <w:t xml:space="preserve"> and </w:t>
      </w:r>
      <w:r w:rsidR="00BE4E69">
        <w:rPr>
          <w:sz w:val="22"/>
          <w:szCs w:val="22"/>
          <w:lang w:val="en-US"/>
        </w:rPr>
        <w:t xml:space="preserve">in vitro digestion protocols). The combination of potato protein and pectin (5:1) in </w:t>
      </w:r>
      <w:r w:rsidR="00F76CEB">
        <w:rPr>
          <w:sz w:val="22"/>
          <w:szCs w:val="22"/>
          <w:lang w:val="en-US"/>
        </w:rPr>
        <w:t xml:space="preserve">beads </w:t>
      </w:r>
      <w:r w:rsidR="00863BF9">
        <w:rPr>
          <w:sz w:val="22"/>
          <w:szCs w:val="22"/>
          <w:lang w:val="en-US"/>
        </w:rPr>
        <w:t xml:space="preserve">(double encapsulation) </w:t>
      </w:r>
      <w:r w:rsidR="00F76CEB">
        <w:rPr>
          <w:sz w:val="22"/>
          <w:szCs w:val="22"/>
          <w:lang w:val="en-US"/>
        </w:rPr>
        <w:t xml:space="preserve">showed improved encapsulation yield and </w:t>
      </w:r>
      <w:r w:rsidR="00204AD1">
        <w:rPr>
          <w:sz w:val="22"/>
          <w:szCs w:val="22"/>
          <w:lang w:val="en-US"/>
        </w:rPr>
        <w:t>higher</w:t>
      </w:r>
      <w:r w:rsidR="00F76CEB">
        <w:rPr>
          <w:sz w:val="22"/>
          <w:szCs w:val="22"/>
          <w:lang w:val="en-US"/>
        </w:rPr>
        <w:t xml:space="preserve"> viability of </w:t>
      </w:r>
      <w:r w:rsidR="00916CDA">
        <w:rPr>
          <w:sz w:val="22"/>
          <w:szCs w:val="22"/>
          <w:lang w:val="en-US"/>
        </w:rPr>
        <w:t xml:space="preserve">the </w:t>
      </w:r>
      <w:r w:rsidR="00F76CEB">
        <w:rPr>
          <w:sz w:val="22"/>
          <w:szCs w:val="22"/>
          <w:lang w:val="en-US"/>
        </w:rPr>
        <w:t xml:space="preserve">microorganisms when exposed </w:t>
      </w:r>
      <w:r w:rsidR="009E6CFB">
        <w:rPr>
          <w:sz w:val="22"/>
          <w:szCs w:val="22"/>
          <w:lang w:val="en-US"/>
        </w:rPr>
        <w:t>under the examined stress conditions</w:t>
      </w:r>
      <w:r w:rsidR="00F76CEB">
        <w:rPr>
          <w:sz w:val="22"/>
          <w:szCs w:val="22"/>
          <w:lang w:val="en-US"/>
        </w:rPr>
        <w:t xml:space="preserve">. </w:t>
      </w:r>
      <w:r w:rsidR="00204AD1">
        <w:rPr>
          <w:sz w:val="22"/>
          <w:szCs w:val="22"/>
          <w:lang w:val="en-US"/>
        </w:rPr>
        <w:t xml:space="preserve">The results suggest that </w:t>
      </w:r>
      <w:r w:rsidR="00865EDF">
        <w:rPr>
          <w:sz w:val="22"/>
          <w:szCs w:val="22"/>
          <w:lang w:val="en-US"/>
        </w:rPr>
        <w:t xml:space="preserve">the combination of </w:t>
      </w:r>
      <w:r w:rsidR="00204AD1">
        <w:rPr>
          <w:sz w:val="22"/>
          <w:szCs w:val="22"/>
          <w:lang w:val="en-US"/>
        </w:rPr>
        <w:t xml:space="preserve">plant-based biopolymers </w:t>
      </w:r>
      <w:r w:rsidR="00865EDF">
        <w:rPr>
          <w:sz w:val="22"/>
          <w:szCs w:val="22"/>
          <w:lang w:val="en-US"/>
        </w:rPr>
        <w:t>in complex coacervates or beads has the potential to improve the viability of probiotic</w:t>
      </w:r>
      <w:r w:rsidR="00916CDA">
        <w:rPr>
          <w:sz w:val="22"/>
          <w:szCs w:val="22"/>
          <w:lang w:val="en-US"/>
        </w:rPr>
        <w:t xml:space="preserve"> cultures</w:t>
      </w:r>
      <w:r w:rsidR="00865EDF">
        <w:rPr>
          <w:sz w:val="22"/>
          <w:szCs w:val="22"/>
          <w:lang w:val="en-US"/>
        </w:rPr>
        <w:t xml:space="preserve"> in </w:t>
      </w:r>
      <w:r w:rsidR="00863BF9">
        <w:rPr>
          <w:sz w:val="22"/>
          <w:szCs w:val="22"/>
          <w:lang w:val="en-US"/>
        </w:rPr>
        <w:t>bakery</w:t>
      </w:r>
      <w:r w:rsidR="00865EDF">
        <w:rPr>
          <w:sz w:val="22"/>
          <w:szCs w:val="22"/>
          <w:lang w:val="en-US"/>
        </w:rPr>
        <w:t xml:space="preserve"> products</w:t>
      </w:r>
      <w:r w:rsidR="00863BF9">
        <w:rPr>
          <w:sz w:val="22"/>
          <w:szCs w:val="22"/>
          <w:lang w:val="en-US"/>
        </w:rPr>
        <w:t>.</w:t>
      </w:r>
      <w:r w:rsidR="00865EDF">
        <w:rPr>
          <w:sz w:val="22"/>
          <w:szCs w:val="22"/>
          <w:lang w:val="en-US"/>
        </w:rPr>
        <w:t xml:space="preserve"> </w:t>
      </w:r>
    </w:p>
    <w:p w14:paraId="4478EE9D" w14:textId="77777777" w:rsidR="001A587D" w:rsidRPr="00863BF9" w:rsidRDefault="001A587D" w:rsidP="00730A4F">
      <w:pPr>
        <w:pStyle w:val="BodyText"/>
        <w:jc w:val="both"/>
        <w:rPr>
          <w:sz w:val="22"/>
          <w:szCs w:val="22"/>
          <w:lang w:val="en-US"/>
        </w:rPr>
      </w:pPr>
    </w:p>
    <w:bookmarkEnd w:id="0"/>
    <w:p w14:paraId="6E66D932" w14:textId="77777777" w:rsidR="00730A4F" w:rsidRPr="00730A4F" w:rsidRDefault="00730A4F" w:rsidP="00730A4F">
      <w:pPr>
        <w:ind w:left="187" w:hanging="187"/>
        <w:jc w:val="both"/>
        <w:rPr>
          <w:rFonts w:ascii="Arial" w:hAnsi="Arial" w:cs="Arial"/>
          <w:i/>
          <w:iCs/>
          <w:lang w:val="en-US"/>
        </w:rPr>
      </w:pPr>
      <w:r w:rsidRPr="00730A4F">
        <w:rPr>
          <w:rFonts w:ascii="Arial" w:hAnsi="Arial" w:cs="Arial"/>
          <w:i/>
          <w:iCs/>
          <w:lang w:val="en-US"/>
        </w:rPr>
        <w:t>References</w:t>
      </w:r>
    </w:p>
    <w:p w14:paraId="7AA73D09" w14:textId="77777777" w:rsidR="00730A4F" w:rsidRPr="00865EDF" w:rsidRDefault="00865EDF" w:rsidP="00865EDF">
      <w:pPr>
        <w:numPr>
          <w:ilvl w:val="0"/>
          <w:numId w:val="3"/>
        </w:numPr>
        <w:ind w:left="284" w:hanging="218"/>
        <w:jc w:val="both"/>
        <w:rPr>
          <w:rFonts w:ascii="Arial" w:hAnsi="Arial" w:cs="Arial"/>
          <w:lang w:val="en-US"/>
        </w:rPr>
      </w:pPr>
      <w:proofErr w:type="spellStart"/>
      <w:r w:rsidRPr="00A65E97">
        <w:rPr>
          <w:rFonts w:ascii="Arial" w:hAnsi="Arial" w:cs="Arial"/>
          <w:lang w:val="de-DE"/>
        </w:rPr>
        <w:t>Warnakulasuriya</w:t>
      </w:r>
      <w:proofErr w:type="spellEnd"/>
      <w:r w:rsidRPr="00A65E97">
        <w:rPr>
          <w:rFonts w:ascii="Arial" w:hAnsi="Arial" w:cs="Arial"/>
          <w:lang w:val="de-DE"/>
        </w:rPr>
        <w:t xml:space="preserve">, S. N., &amp; Nickerson, M. T. (2018). </w:t>
      </w:r>
      <w:r w:rsidRPr="00730A4F">
        <w:rPr>
          <w:rFonts w:ascii="Arial" w:hAnsi="Arial" w:cs="Arial"/>
          <w:lang w:val="en-US"/>
        </w:rPr>
        <w:t xml:space="preserve">Review on plant protein–polysaccharide complex coacervation, and the functionality and applicability of formed complexes. </w:t>
      </w:r>
      <w:r w:rsidRPr="00730A4F">
        <w:rPr>
          <w:rFonts w:ascii="Arial" w:hAnsi="Arial" w:cs="Arial"/>
          <w:i/>
          <w:iCs/>
          <w:lang w:val="en-US"/>
        </w:rPr>
        <w:t>Journal of the Science of Food and Agriculture</w:t>
      </w:r>
      <w:r w:rsidRPr="00730A4F">
        <w:rPr>
          <w:rFonts w:ascii="Arial" w:hAnsi="Arial" w:cs="Arial"/>
          <w:lang w:val="en-US"/>
        </w:rPr>
        <w:t xml:space="preserve">, </w:t>
      </w:r>
      <w:r w:rsidRPr="00730A4F">
        <w:rPr>
          <w:rFonts w:ascii="Arial" w:hAnsi="Arial" w:cs="Arial"/>
          <w:i/>
          <w:iCs/>
          <w:lang w:val="en-US"/>
        </w:rPr>
        <w:t>98</w:t>
      </w:r>
      <w:r w:rsidRPr="00730A4F">
        <w:rPr>
          <w:rFonts w:ascii="Arial" w:hAnsi="Arial" w:cs="Arial"/>
          <w:lang w:val="en-US"/>
        </w:rPr>
        <w:t>(15), 5559–5571.</w:t>
      </w:r>
    </w:p>
    <w:p w14:paraId="7CDD756E" w14:textId="77777777" w:rsidR="00730A4F" w:rsidRPr="00863BF9" w:rsidRDefault="00865EDF" w:rsidP="00863BF9">
      <w:pPr>
        <w:numPr>
          <w:ilvl w:val="0"/>
          <w:numId w:val="3"/>
        </w:numPr>
        <w:ind w:left="284" w:hanging="218"/>
        <w:jc w:val="both"/>
        <w:rPr>
          <w:rFonts w:ascii="Arial" w:hAnsi="Arial" w:cs="Arial"/>
          <w:lang w:val="en-US"/>
        </w:rPr>
      </w:pPr>
      <w:r w:rsidRPr="00865EDF">
        <w:rPr>
          <w:rFonts w:ascii="Arial" w:hAnsi="Arial" w:cs="Arial"/>
        </w:rPr>
        <w:t>Moschakis, T., &amp; Biliaderis, C. G. (2017). Biopolymer-based coacervates: Structures, functionality and applications in food products. </w:t>
      </w:r>
      <w:r w:rsidRPr="00865EDF">
        <w:rPr>
          <w:rFonts w:ascii="Arial" w:hAnsi="Arial" w:cs="Arial"/>
          <w:i/>
          <w:iCs/>
        </w:rPr>
        <w:t>Current Opinion in Colloid &amp; Interface Science</w:t>
      </w:r>
      <w:r w:rsidRPr="00865EDF">
        <w:rPr>
          <w:rFonts w:ascii="Arial" w:hAnsi="Arial" w:cs="Arial"/>
        </w:rPr>
        <w:t>, </w:t>
      </w:r>
      <w:r w:rsidRPr="00865EDF">
        <w:rPr>
          <w:rFonts w:ascii="Arial" w:hAnsi="Arial" w:cs="Arial"/>
          <w:i/>
          <w:iCs/>
        </w:rPr>
        <w:t>28</w:t>
      </w:r>
      <w:r w:rsidRPr="00865EDF">
        <w:rPr>
          <w:rFonts w:ascii="Arial" w:hAnsi="Arial" w:cs="Arial"/>
        </w:rPr>
        <w:t>, 96-109.</w:t>
      </w:r>
    </w:p>
    <w:sectPr w:rsidR="00730A4F" w:rsidRPr="00863BF9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2348"/>
    <w:multiLevelType w:val="hybridMultilevel"/>
    <w:tmpl w:val="2BA0EB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458836333">
    <w:abstractNumId w:val="2"/>
  </w:num>
  <w:num w:numId="2" w16cid:durableId="1571230551">
    <w:abstractNumId w:val="1"/>
  </w:num>
  <w:num w:numId="3" w16cid:durableId="57089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A7"/>
    <w:rsid w:val="000906AC"/>
    <w:rsid w:val="000B64E0"/>
    <w:rsid w:val="000E5D1E"/>
    <w:rsid w:val="00123FCA"/>
    <w:rsid w:val="001512CA"/>
    <w:rsid w:val="00181340"/>
    <w:rsid w:val="001A587D"/>
    <w:rsid w:val="001F51C9"/>
    <w:rsid w:val="00204AD1"/>
    <w:rsid w:val="00205DE2"/>
    <w:rsid w:val="00291D46"/>
    <w:rsid w:val="002B095B"/>
    <w:rsid w:val="002B6F68"/>
    <w:rsid w:val="00300400"/>
    <w:rsid w:val="003350C3"/>
    <w:rsid w:val="003E5DE3"/>
    <w:rsid w:val="0046704F"/>
    <w:rsid w:val="00541D14"/>
    <w:rsid w:val="00541E5B"/>
    <w:rsid w:val="005D0678"/>
    <w:rsid w:val="00605D55"/>
    <w:rsid w:val="00620A65"/>
    <w:rsid w:val="0067532E"/>
    <w:rsid w:val="006B44ED"/>
    <w:rsid w:val="00730A4F"/>
    <w:rsid w:val="00736AAD"/>
    <w:rsid w:val="00740D4D"/>
    <w:rsid w:val="007A70A2"/>
    <w:rsid w:val="007C3C90"/>
    <w:rsid w:val="00806364"/>
    <w:rsid w:val="00840E5E"/>
    <w:rsid w:val="00863BF9"/>
    <w:rsid w:val="00865EDF"/>
    <w:rsid w:val="008F2FD6"/>
    <w:rsid w:val="00916CDA"/>
    <w:rsid w:val="009E6CFB"/>
    <w:rsid w:val="00A65E97"/>
    <w:rsid w:val="00A67207"/>
    <w:rsid w:val="00BE4E69"/>
    <w:rsid w:val="00C243B7"/>
    <w:rsid w:val="00C72F77"/>
    <w:rsid w:val="00CB0F55"/>
    <w:rsid w:val="00CC2244"/>
    <w:rsid w:val="00D91A7A"/>
    <w:rsid w:val="00DB5DA7"/>
    <w:rsid w:val="00F76CEB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139D9"/>
  <w15:chartTrackingRefBased/>
  <w15:docId w15:val="{16644C10-2C2E-4850-903B-58691C04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styleId="Hyperlink">
    <w:name w:val="Hyperlink"/>
    <w:rsid w:val="00865ED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65EDF"/>
    <w:rPr>
      <w:color w:val="605E5C"/>
      <w:shd w:val="clear" w:color="auto" w:fill="E1DFDD"/>
    </w:rPr>
  </w:style>
  <w:style w:type="character" w:styleId="CommentReference">
    <w:name w:val="annotation reference"/>
    <w:rsid w:val="003004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0400"/>
  </w:style>
  <w:style w:type="character" w:customStyle="1" w:styleId="CommentTextChar">
    <w:name w:val="Comment Text Char"/>
    <w:link w:val="CommentText"/>
    <w:rsid w:val="00300400"/>
    <w:rPr>
      <w:rFonts w:eastAsia="SimSun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300400"/>
    <w:rPr>
      <w:b/>
      <w:bCs/>
    </w:rPr>
  </w:style>
  <w:style w:type="character" w:customStyle="1" w:styleId="CommentSubjectChar">
    <w:name w:val="Comment Subject Char"/>
    <w:link w:val="CommentSubject"/>
    <w:rsid w:val="00300400"/>
    <w:rPr>
      <w:rFonts w:eastAsia="SimSun"/>
      <w:b/>
      <w:bCs/>
      <w:lang w:val="nb-NO" w:eastAsia="zh-CN"/>
    </w:rPr>
  </w:style>
  <w:style w:type="paragraph" w:styleId="BalloonText">
    <w:name w:val="Balloon Text"/>
    <w:basedOn w:val="Normal"/>
    <w:link w:val="BalloonTextChar"/>
    <w:rsid w:val="00300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0400"/>
    <w:rPr>
      <w:rFonts w:ascii="Segoe UI" w:eastAsia="SimSun" w:hAnsi="Segoe UI" w:cs="Segoe UI"/>
      <w:sz w:val="18"/>
      <w:szCs w:val="18"/>
      <w:lang w:val="nb-NO" w:eastAsia="zh-CN"/>
    </w:rPr>
  </w:style>
  <w:style w:type="paragraph" w:styleId="Revision">
    <w:name w:val="Revision"/>
    <w:hidden/>
    <w:uiPriority w:val="99"/>
    <w:semiHidden/>
    <w:rsid w:val="00840E5E"/>
    <w:rPr>
      <w:rFonts w:eastAsia="SimSun"/>
      <w:lang w:val="nb-NO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Thomas Moschakis</cp:lastModifiedBy>
  <cp:revision>2</cp:revision>
  <cp:lastPrinted>2008-01-25T13:22:00Z</cp:lastPrinted>
  <dcterms:created xsi:type="dcterms:W3CDTF">2023-01-22T17:09:00Z</dcterms:created>
  <dcterms:modified xsi:type="dcterms:W3CDTF">2023-01-22T17:09:00Z</dcterms:modified>
</cp:coreProperties>
</file>